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jc w:val="center"/>
        <w:tblLook w:val="04A0" w:firstRow="1" w:lastRow="0" w:firstColumn="1" w:lastColumn="0" w:noHBand="0" w:noVBand="1"/>
      </w:tblPr>
      <w:tblGrid>
        <w:gridCol w:w="1837"/>
        <w:gridCol w:w="8648"/>
        <w:gridCol w:w="1133"/>
        <w:gridCol w:w="3770"/>
      </w:tblGrid>
      <w:tr w:rsidR="00296302" w:rsidRPr="007E00CC" w14:paraId="0FCC4524" w14:textId="77777777" w:rsidTr="00296302">
        <w:trPr>
          <w:trHeight w:val="445"/>
          <w:tblHeader/>
          <w:jc w:val="center"/>
        </w:trPr>
        <w:tc>
          <w:tcPr>
            <w:tcW w:w="597" w:type="pct"/>
            <w:shd w:val="clear" w:color="auto" w:fill="A8D08D" w:themeFill="accent6" w:themeFillTint="99"/>
            <w:vAlign w:val="center"/>
          </w:tcPr>
          <w:p w14:paraId="4FA71168" w14:textId="60A01544" w:rsidR="00F95859" w:rsidRPr="00CD22D6" w:rsidRDefault="003C6607" w:rsidP="00701510">
            <w:pPr>
              <w:pStyle w:val="TableHeaderWhite"/>
              <w:spacing w:before="0"/>
              <w:jc w:val="center"/>
              <w:rPr>
                <w:color w:val="auto"/>
              </w:rPr>
            </w:pPr>
            <w:bookmarkStart w:id="0" w:name="_GoBack"/>
            <w:bookmarkEnd w:id="0"/>
            <w:r w:rsidRPr="00CD22D6">
              <w:rPr>
                <w:color w:val="auto"/>
              </w:rPr>
              <w:t>E</w:t>
            </w:r>
            <w:r w:rsidR="00CD22D6" w:rsidRPr="00CD22D6">
              <w:rPr>
                <w:color w:val="auto"/>
              </w:rPr>
              <w:t xml:space="preserve">LEMENT OF </w:t>
            </w:r>
            <w:r w:rsidRPr="00CD22D6">
              <w:rPr>
                <w:color w:val="auto"/>
              </w:rPr>
              <w:t>CP</w:t>
            </w:r>
          </w:p>
        </w:tc>
        <w:tc>
          <w:tcPr>
            <w:tcW w:w="2810" w:type="pct"/>
            <w:shd w:val="clear" w:color="auto" w:fill="A8D08D" w:themeFill="accent6" w:themeFillTint="99"/>
            <w:vAlign w:val="center"/>
          </w:tcPr>
          <w:p w14:paraId="57539D85" w14:textId="1CEBD86A" w:rsidR="00F95859" w:rsidRPr="00CD22D6" w:rsidRDefault="00F95859" w:rsidP="00701510">
            <w:pPr>
              <w:pStyle w:val="TableHeaderWhite"/>
              <w:spacing w:before="0"/>
              <w:jc w:val="center"/>
              <w:rPr>
                <w:color w:val="auto"/>
              </w:rPr>
            </w:pPr>
            <w:r w:rsidRPr="00CD22D6">
              <w:rPr>
                <w:color w:val="auto"/>
              </w:rPr>
              <w:t>ACTIONS</w:t>
            </w:r>
          </w:p>
        </w:tc>
        <w:tc>
          <w:tcPr>
            <w:tcW w:w="368" w:type="pct"/>
            <w:shd w:val="clear" w:color="auto" w:fill="A8D08D" w:themeFill="accent6" w:themeFillTint="99"/>
            <w:vAlign w:val="center"/>
          </w:tcPr>
          <w:p w14:paraId="3DCECFE2" w14:textId="6B1CAE2E" w:rsidR="00F95859" w:rsidRPr="00CD22D6" w:rsidRDefault="00F95859" w:rsidP="00701510">
            <w:pPr>
              <w:pStyle w:val="TableHeaderWhite"/>
              <w:spacing w:before="0"/>
              <w:jc w:val="center"/>
              <w:rPr>
                <w:color w:val="auto"/>
              </w:rPr>
            </w:pPr>
            <w:r w:rsidRPr="00CD22D6">
              <w:rPr>
                <w:color w:val="auto"/>
              </w:rPr>
              <w:t>STATUS</w:t>
            </w:r>
          </w:p>
        </w:tc>
        <w:tc>
          <w:tcPr>
            <w:tcW w:w="1225" w:type="pct"/>
            <w:shd w:val="clear" w:color="auto" w:fill="A8D08D" w:themeFill="accent6" w:themeFillTint="99"/>
            <w:vAlign w:val="center"/>
          </w:tcPr>
          <w:p w14:paraId="4209DF67" w14:textId="16D6749A" w:rsidR="00F95859" w:rsidRPr="00CD22D6" w:rsidRDefault="00F95859" w:rsidP="00701510">
            <w:pPr>
              <w:pStyle w:val="TableHeaderWhite"/>
              <w:spacing w:before="0"/>
              <w:jc w:val="center"/>
              <w:rPr>
                <w:color w:val="auto"/>
              </w:rPr>
            </w:pPr>
            <w:r w:rsidRPr="00CD22D6">
              <w:rPr>
                <w:color w:val="auto"/>
              </w:rPr>
              <w:t>OUTCOME</w:t>
            </w:r>
          </w:p>
        </w:tc>
      </w:tr>
      <w:tr w:rsidR="00554AD2" w:rsidRPr="007E00CC" w14:paraId="23F1B9C5" w14:textId="77777777" w:rsidTr="00296302">
        <w:trPr>
          <w:trHeight w:val="1418"/>
          <w:jc w:val="center"/>
        </w:trPr>
        <w:tc>
          <w:tcPr>
            <w:tcW w:w="597" w:type="pct"/>
            <w:vMerge w:val="restart"/>
            <w:shd w:val="clear" w:color="auto" w:fill="auto"/>
            <w:vAlign w:val="center"/>
          </w:tcPr>
          <w:p w14:paraId="1D3ACE66" w14:textId="40D40844" w:rsidR="00554AD2" w:rsidRPr="00CD22D6" w:rsidRDefault="00554AD2" w:rsidP="00701510">
            <w:pPr>
              <w:pStyle w:val="TableHeaderWhite"/>
              <w:spacing w:before="0"/>
              <w:jc w:val="center"/>
              <w:rPr>
                <w:color w:val="auto"/>
              </w:rPr>
            </w:pPr>
            <w:r w:rsidRPr="00CD22D6">
              <w:rPr>
                <w:color w:val="auto"/>
              </w:rPr>
              <w:t>Table 1</w:t>
            </w:r>
          </w:p>
        </w:tc>
        <w:tc>
          <w:tcPr>
            <w:tcW w:w="2810" w:type="pct"/>
            <w:vMerge w:val="restart"/>
            <w:shd w:val="clear" w:color="auto" w:fill="auto"/>
            <w:vAlign w:val="center"/>
          </w:tcPr>
          <w:p w14:paraId="72E0FDDD" w14:textId="77777777" w:rsidR="00554AD2" w:rsidRPr="00CD22D6" w:rsidRDefault="00554AD2" w:rsidP="00701510">
            <w:pPr>
              <w:spacing w:before="0"/>
              <w:rPr>
                <w:rStyle w:val="NEW"/>
                <w:rFonts w:asciiTheme="minorHAnsi" w:hAnsiTheme="minorHAnsi"/>
                <w:b/>
                <w:sz w:val="20"/>
                <w:szCs w:val="20"/>
              </w:rPr>
            </w:pPr>
            <w:r w:rsidRPr="00CD22D6">
              <w:rPr>
                <w:rStyle w:val="NEW"/>
                <w:rFonts w:asciiTheme="minorHAnsi" w:hAnsiTheme="minorHAnsi"/>
                <w:b/>
                <w:sz w:val="20"/>
                <w:szCs w:val="20"/>
              </w:rPr>
              <w:t xml:space="preserve">British Gas Response to Question 3: </w:t>
            </w:r>
          </w:p>
          <w:p w14:paraId="26A2E97E" w14:textId="42167706" w:rsidR="00554AD2" w:rsidRPr="00CD22D6" w:rsidRDefault="00554AD2" w:rsidP="00701510">
            <w:pPr>
              <w:pStyle w:val="Quote"/>
              <w:spacing w:before="0"/>
              <w:rPr>
                <w:rStyle w:val="NEW"/>
                <w:rFonts w:asciiTheme="minorHAnsi" w:hAnsiTheme="minorHAnsi"/>
                <w:color w:val="2F5496" w:themeColor="accent1" w:themeShade="BF"/>
                <w:sz w:val="20"/>
                <w:szCs w:val="20"/>
              </w:rPr>
            </w:pPr>
            <w:r w:rsidRPr="00CD22D6">
              <w:rPr>
                <w:rStyle w:val="NEW"/>
                <w:rFonts w:asciiTheme="minorHAnsi" w:hAnsiTheme="minorHAnsi"/>
                <w:color w:val="2F5496" w:themeColor="accent1" w:themeShade="BF"/>
                <w:sz w:val="20"/>
                <w:szCs w:val="20"/>
              </w:rPr>
              <w:t xml:space="preserve">“…include a separate table which breaks down the value of the </w:t>
            </w:r>
            <w:proofErr w:type="spellStart"/>
            <w:r w:rsidRPr="00CD22D6">
              <w:rPr>
                <w:rStyle w:val="NEW"/>
                <w:rFonts w:asciiTheme="minorHAnsi" w:hAnsiTheme="minorHAnsi"/>
                <w:color w:val="2F5496" w:themeColor="accent1" w:themeShade="BF"/>
                <w:sz w:val="20"/>
                <w:szCs w:val="20"/>
              </w:rPr>
              <w:t>MODt</w:t>
            </w:r>
            <w:proofErr w:type="spellEnd"/>
            <w:r w:rsidRPr="00CD22D6">
              <w:rPr>
                <w:rStyle w:val="NEW"/>
                <w:rFonts w:asciiTheme="minorHAnsi" w:hAnsiTheme="minorHAnsi"/>
                <w:color w:val="2F5496" w:themeColor="accent1" w:themeShade="BF"/>
                <w:sz w:val="20"/>
                <w:szCs w:val="20"/>
              </w:rPr>
              <w:t xml:space="preserve"> term included in the Table 1 forecast. This provides transparency and valuable insight into the assumptions behind this important revenue term. We would recommend DNOs incorporate an equivalent breakdown of the </w:t>
            </w:r>
            <w:proofErr w:type="spellStart"/>
            <w:r w:rsidRPr="00CD22D6">
              <w:rPr>
                <w:rStyle w:val="NEW"/>
                <w:rFonts w:asciiTheme="minorHAnsi" w:hAnsiTheme="minorHAnsi"/>
                <w:color w:val="2F5496" w:themeColor="accent1" w:themeShade="BF"/>
                <w:sz w:val="20"/>
                <w:szCs w:val="20"/>
              </w:rPr>
              <w:t>MODt</w:t>
            </w:r>
            <w:proofErr w:type="spellEnd"/>
            <w:r w:rsidRPr="00CD22D6">
              <w:rPr>
                <w:rStyle w:val="NEW"/>
                <w:rFonts w:asciiTheme="minorHAnsi" w:hAnsiTheme="minorHAnsi"/>
                <w:color w:val="2F5496" w:themeColor="accent1" w:themeShade="BF"/>
                <w:sz w:val="20"/>
                <w:szCs w:val="20"/>
              </w:rPr>
              <w:t xml:space="preserve"> term into the Clause 35A requirements.”</w:t>
            </w:r>
          </w:p>
          <w:p w14:paraId="61FB0CA5" w14:textId="77777777" w:rsidR="00554AD2" w:rsidRPr="00CD22D6" w:rsidRDefault="00554AD2" w:rsidP="00701510">
            <w:pPr>
              <w:spacing w:before="0" w:after="0"/>
              <w:rPr>
                <w:rStyle w:val="NEW"/>
                <w:rFonts w:asciiTheme="minorHAnsi" w:hAnsiTheme="minorHAnsi"/>
                <w:b/>
                <w:sz w:val="20"/>
                <w:szCs w:val="20"/>
              </w:rPr>
            </w:pPr>
            <w:r w:rsidRPr="00CD22D6">
              <w:rPr>
                <w:rStyle w:val="NEW"/>
                <w:rFonts w:asciiTheme="minorHAnsi" w:hAnsiTheme="minorHAnsi"/>
                <w:b/>
                <w:sz w:val="20"/>
                <w:szCs w:val="20"/>
              </w:rPr>
              <w:t xml:space="preserve">Working Group comment: </w:t>
            </w:r>
          </w:p>
          <w:p w14:paraId="740CD90C" w14:textId="6370C5E4" w:rsidR="00554AD2" w:rsidRPr="00CD22D6" w:rsidRDefault="00554AD2" w:rsidP="00701510">
            <w:pPr>
              <w:spacing w:before="0"/>
              <w:rPr>
                <w:rStyle w:val="NEW"/>
                <w:rFonts w:asciiTheme="minorHAnsi" w:hAnsiTheme="minorHAnsi"/>
                <w:sz w:val="20"/>
                <w:szCs w:val="20"/>
              </w:rPr>
            </w:pPr>
            <w:r w:rsidRPr="00CD22D6">
              <w:rPr>
                <w:rStyle w:val="NEW"/>
                <w:rFonts w:asciiTheme="minorHAnsi" w:hAnsiTheme="minorHAnsi"/>
                <w:sz w:val="20"/>
                <w:szCs w:val="20"/>
              </w:rPr>
              <w:t xml:space="preserve">The Working Group agreed that this should </w:t>
            </w:r>
            <w:proofErr w:type="gramStart"/>
            <w:r w:rsidRPr="00CD22D6">
              <w:rPr>
                <w:rStyle w:val="NEW"/>
                <w:rFonts w:asciiTheme="minorHAnsi" w:hAnsiTheme="minorHAnsi"/>
                <w:sz w:val="20"/>
                <w:szCs w:val="20"/>
              </w:rPr>
              <w:t>be</w:t>
            </w:r>
            <w:proofErr w:type="gramEnd"/>
            <w:r w:rsidRPr="00CD22D6">
              <w:rPr>
                <w:rStyle w:val="NEW"/>
                <w:rFonts w:asciiTheme="minorHAnsi" w:hAnsiTheme="minorHAnsi"/>
                <w:sz w:val="20"/>
                <w:szCs w:val="20"/>
              </w:rPr>
              <w:t xml:space="preserve"> something to consider and they would need to review the electricity Price Control Financial Model to determine what the equivalent table would be. It was also agreed that the ‘modification to revenue from the Annual Iteration Process’ (MOD) term line will still be included within the table, but an extra sheet will be included for commentary.</w:t>
            </w:r>
          </w:p>
        </w:tc>
        <w:tc>
          <w:tcPr>
            <w:tcW w:w="368" w:type="pct"/>
            <w:vMerge w:val="restart"/>
            <w:shd w:val="clear" w:color="auto" w:fill="auto"/>
          </w:tcPr>
          <w:p w14:paraId="2BEF91D4" w14:textId="67881B27" w:rsidR="00554AD2" w:rsidRPr="00554AD2" w:rsidRDefault="00554AD2" w:rsidP="00701510">
            <w:pPr>
              <w:spacing w:before="0"/>
              <w:rPr>
                <w:rStyle w:val="NEW"/>
                <w:rFonts w:asciiTheme="minorHAnsi" w:hAnsiTheme="minorHAnsi"/>
                <w:b/>
                <w:color w:val="ED7D31" w:themeColor="accent2"/>
                <w:sz w:val="20"/>
                <w:szCs w:val="20"/>
              </w:rPr>
            </w:pPr>
            <w:r w:rsidRPr="00554AD2">
              <w:rPr>
                <w:rStyle w:val="NEW"/>
                <w:rFonts w:asciiTheme="minorHAnsi" w:hAnsiTheme="minorHAnsi"/>
                <w:b/>
                <w:color w:val="ED7D31" w:themeColor="accent2"/>
                <w:sz w:val="20"/>
                <w:szCs w:val="20"/>
              </w:rPr>
              <w:t>Ongoing</w:t>
            </w:r>
          </w:p>
        </w:tc>
        <w:tc>
          <w:tcPr>
            <w:tcW w:w="1225" w:type="pct"/>
            <w:shd w:val="clear" w:color="auto" w:fill="auto"/>
          </w:tcPr>
          <w:p w14:paraId="16113AC2" w14:textId="094077EB"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20BA3E38" w14:textId="094516DD" w:rsidR="00554AD2" w:rsidRPr="00CD22D6"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tc>
      </w:tr>
      <w:tr w:rsidR="00554AD2" w:rsidRPr="007E00CC" w14:paraId="63185FB4" w14:textId="77777777" w:rsidTr="00296302">
        <w:trPr>
          <w:trHeight w:val="1417"/>
          <w:jc w:val="center"/>
        </w:trPr>
        <w:tc>
          <w:tcPr>
            <w:tcW w:w="597" w:type="pct"/>
            <w:vMerge/>
            <w:shd w:val="clear" w:color="auto" w:fill="auto"/>
            <w:vAlign w:val="center"/>
          </w:tcPr>
          <w:p w14:paraId="01FC5272" w14:textId="77777777" w:rsidR="00554AD2" w:rsidRPr="00CD22D6" w:rsidRDefault="00554AD2" w:rsidP="00701510">
            <w:pPr>
              <w:pStyle w:val="TableHeaderWhite"/>
              <w:spacing w:before="0"/>
              <w:jc w:val="center"/>
              <w:rPr>
                <w:color w:val="auto"/>
              </w:rPr>
            </w:pPr>
          </w:p>
        </w:tc>
        <w:tc>
          <w:tcPr>
            <w:tcW w:w="2810" w:type="pct"/>
            <w:vMerge/>
            <w:shd w:val="clear" w:color="auto" w:fill="auto"/>
            <w:vAlign w:val="center"/>
          </w:tcPr>
          <w:p w14:paraId="47F392D1" w14:textId="77777777" w:rsidR="00554AD2" w:rsidRPr="00CD22D6" w:rsidRDefault="00554AD2" w:rsidP="00701510">
            <w:pPr>
              <w:spacing w:before="0"/>
              <w:rPr>
                <w:rStyle w:val="NEW"/>
                <w:rFonts w:asciiTheme="minorHAnsi" w:hAnsiTheme="minorHAnsi"/>
                <w:b/>
                <w:sz w:val="20"/>
                <w:szCs w:val="20"/>
              </w:rPr>
            </w:pPr>
          </w:p>
        </w:tc>
        <w:tc>
          <w:tcPr>
            <w:tcW w:w="368" w:type="pct"/>
            <w:vMerge/>
            <w:shd w:val="clear" w:color="auto" w:fill="auto"/>
          </w:tcPr>
          <w:p w14:paraId="66543220"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1225" w:type="pct"/>
            <w:shd w:val="clear" w:color="auto" w:fill="auto"/>
          </w:tcPr>
          <w:p w14:paraId="6F1ED2B5"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4713F12F" w14:textId="0C86634B"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tc>
      </w:tr>
      <w:tr w:rsidR="00554AD2" w:rsidRPr="007E00CC" w14:paraId="0C688984" w14:textId="77777777" w:rsidTr="00296302">
        <w:trPr>
          <w:trHeight w:val="1238"/>
          <w:jc w:val="center"/>
        </w:trPr>
        <w:tc>
          <w:tcPr>
            <w:tcW w:w="597" w:type="pct"/>
            <w:vMerge/>
            <w:shd w:val="clear" w:color="auto" w:fill="auto"/>
            <w:vAlign w:val="center"/>
          </w:tcPr>
          <w:p w14:paraId="5E8C213D" w14:textId="53C9F283" w:rsidR="00554AD2" w:rsidRPr="00CD22D6" w:rsidRDefault="00554AD2" w:rsidP="00701510">
            <w:pPr>
              <w:pStyle w:val="TableHeaderWhite"/>
              <w:spacing w:before="0"/>
              <w:jc w:val="center"/>
              <w:rPr>
                <w:color w:val="auto"/>
              </w:rPr>
            </w:pPr>
          </w:p>
        </w:tc>
        <w:tc>
          <w:tcPr>
            <w:tcW w:w="2810" w:type="pct"/>
            <w:vMerge w:val="restart"/>
            <w:shd w:val="clear" w:color="auto" w:fill="auto"/>
          </w:tcPr>
          <w:p w14:paraId="06538951" w14:textId="6C8D6479" w:rsidR="00554AD2" w:rsidRPr="00CD22D6" w:rsidRDefault="00554AD2" w:rsidP="00701510">
            <w:pPr>
              <w:spacing w:before="0"/>
              <w:rPr>
                <w:b/>
                <w:sz w:val="20"/>
                <w:szCs w:val="20"/>
              </w:rPr>
            </w:pPr>
            <w:r w:rsidRPr="00CD22D6">
              <w:rPr>
                <w:b/>
                <w:sz w:val="20"/>
                <w:szCs w:val="20"/>
              </w:rPr>
              <w:t>Confidential Response to Question 3:</w:t>
            </w:r>
          </w:p>
          <w:p w14:paraId="12A522C6" w14:textId="56775F01" w:rsidR="00554AD2" w:rsidRPr="00CD22D6" w:rsidRDefault="00554AD2" w:rsidP="00701510">
            <w:pPr>
              <w:pStyle w:val="Quote"/>
              <w:spacing w:before="0"/>
              <w:rPr>
                <w:rStyle w:val="NEW"/>
                <w:rFonts w:asciiTheme="minorHAnsi" w:hAnsiTheme="minorHAnsi"/>
                <w:color w:val="2F5496" w:themeColor="accent1" w:themeShade="BF"/>
                <w:sz w:val="20"/>
                <w:szCs w:val="20"/>
              </w:rPr>
            </w:pPr>
            <w:r w:rsidRPr="00CD22D6">
              <w:rPr>
                <w:rStyle w:val="NEW"/>
                <w:rFonts w:asciiTheme="minorHAnsi" w:hAnsiTheme="minorHAnsi"/>
                <w:color w:val="2F5496" w:themeColor="accent1" w:themeShade="BF"/>
                <w:sz w:val="20"/>
                <w:szCs w:val="20"/>
              </w:rPr>
              <w:t xml:space="preserve">In their response to this question there was a suggestion to include the calculations behind the RPIF as this would allow Parties to see how the data from the Treasury forecasts is used. They also suggested that the movement in each component between the previous quarter’s version and current version should be combined onto one sheet compared to separate sheets </w:t>
            </w:r>
            <w:proofErr w:type="gramStart"/>
            <w:r w:rsidRPr="00CD22D6">
              <w:rPr>
                <w:rStyle w:val="NEW"/>
                <w:rFonts w:asciiTheme="minorHAnsi" w:hAnsiTheme="minorHAnsi"/>
                <w:color w:val="2F5496" w:themeColor="accent1" w:themeShade="BF"/>
                <w:sz w:val="20"/>
                <w:szCs w:val="20"/>
              </w:rPr>
              <w:t>at the moment</w:t>
            </w:r>
            <w:proofErr w:type="gramEnd"/>
            <w:r w:rsidRPr="00CD22D6">
              <w:rPr>
                <w:rStyle w:val="NEW"/>
                <w:rFonts w:asciiTheme="minorHAnsi" w:hAnsiTheme="minorHAnsi"/>
                <w:color w:val="2F5496" w:themeColor="accent1" w:themeShade="BF"/>
                <w:sz w:val="20"/>
                <w:szCs w:val="20"/>
              </w:rPr>
              <w:t xml:space="preserve">. </w:t>
            </w:r>
          </w:p>
          <w:p w14:paraId="3122C805" w14:textId="77777777" w:rsidR="00554AD2" w:rsidRPr="00CD22D6" w:rsidRDefault="00554AD2" w:rsidP="00701510">
            <w:pPr>
              <w:spacing w:before="0"/>
              <w:rPr>
                <w:rStyle w:val="NEW"/>
                <w:rFonts w:asciiTheme="minorHAnsi" w:hAnsiTheme="minorHAnsi"/>
                <w:b/>
                <w:sz w:val="20"/>
                <w:szCs w:val="20"/>
              </w:rPr>
            </w:pPr>
            <w:r w:rsidRPr="00CD22D6">
              <w:rPr>
                <w:rStyle w:val="NEW"/>
                <w:rFonts w:asciiTheme="minorHAnsi" w:hAnsiTheme="minorHAnsi"/>
                <w:b/>
                <w:sz w:val="20"/>
                <w:szCs w:val="20"/>
              </w:rPr>
              <w:t xml:space="preserve">Working Group comment: </w:t>
            </w:r>
          </w:p>
          <w:p w14:paraId="40E40377" w14:textId="50F5C005" w:rsidR="00554AD2" w:rsidRPr="00CD22D6" w:rsidRDefault="00554AD2" w:rsidP="00701510">
            <w:pPr>
              <w:spacing w:before="0"/>
              <w:rPr>
                <w:rStyle w:val="NEW"/>
                <w:rFonts w:asciiTheme="minorHAnsi" w:hAnsiTheme="minorHAnsi"/>
                <w:sz w:val="20"/>
                <w:szCs w:val="20"/>
              </w:rPr>
            </w:pPr>
            <w:r w:rsidRPr="00CD22D6">
              <w:rPr>
                <w:rStyle w:val="NEW"/>
                <w:rFonts w:asciiTheme="minorHAnsi" w:hAnsiTheme="minorHAnsi"/>
                <w:sz w:val="20"/>
                <w:szCs w:val="20"/>
              </w:rPr>
              <w:t>The Working Group confirmed that the ‘Price index adjustment factor’ (RPIF) data can be included on a single worksheet within the template.</w:t>
            </w:r>
          </w:p>
        </w:tc>
        <w:tc>
          <w:tcPr>
            <w:tcW w:w="368" w:type="pct"/>
            <w:vMerge w:val="restart"/>
            <w:shd w:val="clear" w:color="auto" w:fill="auto"/>
          </w:tcPr>
          <w:p w14:paraId="0665D210" w14:textId="773BDDA1" w:rsidR="00554AD2" w:rsidRPr="00CD22D6" w:rsidRDefault="00554AD2" w:rsidP="00701510">
            <w:pPr>
              <w:spacing w:before="0"/>
              <w:rPr>
                <w:rStyle w:val="NEW"/>
                <w:rFonts w:asciiTheme="minorHAnsi" w:hAnsiTheme="minorHAnsi"/>
                <w:sz w:val="20"/>
                <w:szCs w:val="20"/>
              </w:rPr>
            </w:pPr>
            <w:r w:rsidRPr="00554AD2">
              <w:rPr>
                <w:rStyle w:val="NEW"/>
                <w:rFonts w:asciiTheme="minorHAnsi" w:hAnsiTheme="minorHAnsi"/>
                <w:b/>
                <w:color w:val="ED7D31" w:themeColor="accent2"/>
                <w:sz w:val="20"/>
                <w:szCs w:val="20"/>
              </w:rPr>
              <w:t>Ongoing</w:t>
            </w:r>
          </w:p>
        </w:tc>
        <w:tc>
          <w:tcPr>
            <w:tcW w:w="1225" w:type="pct"/>
            <w:shd w:val="clear" w:color="auto" w:fill="auto"/>
          </w:tcPr>
          <w:p w14:paraId="29F9CDA1"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0B385D86" w14:textId="6F5250EF" w:rsidR="00554AD2" w:rsidRPr="00CD22D6"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tc>
      </w:tr>
      <w:tr w:rsidR="00554AD2" w:rsidRPr="007E00CC" w14:paraId="66403E96" w14:textId="77777777" w:rsidTr="00296302">
        <w:trPr>
          <w:trHeight w:val="1237"/>
          <w:jc w:val="center"/>
        </w:trPr>
        <w:tc>
          <w:tcPr>
            <w:tcW w:w="597" w:type="pct"/>
            <w:vMerge/>
            <w:shd w:val="clear" w:color="auto" w:fill="auto"/>
            <w:vAlign w:val="center"/>
          </w:tcPr>
          <w:p w14:paraId="46D664E3" w14:textId="77777777" w:rsidR="00554AD2" w:rsidRPr="00CD22D6" w:rsidRDefault="00554AD2" w:rsidP="00701510">
            <w:pPr>
              <w:pStyle w:val="TableHeaderWhite"/>
              <w:spacing w:before="0"/>
              <w:jc w:val="center"/>
              <w:rPr>
                <w:color w:val="auto"/>
              </w:rPr>
            </w:pPr>
          </w:p>
        </w:tc>
        <w:tc>
          <w:tcPr>
            <w:tcW w:w="2810" w:type="pct"/>
            <w:vMerge/>
            <w:shd w:val="clear" w:color="auto" w:fill="auto"/>
          </w:tcPr>
          <w:p w14:paraId="29E9293D" w14:textId="77777777" w:rsidR="00554AD2" w:rsidRPr="00CD22D6" w:rsidRDefault="00554AD2" w:rsidP="00701510">
            <w:pPr>
              <w:spacing w:before="0"/>
              <w:rPr>
                <w:b/>
                <w:sz w:val="20"/>
                <w:szCs w:val="20"/>
              </w:rPr>
            </w:pPr>
          </w:p>
        </w:tc>
        <w:tc>
          <w:tcPr>
            <w:tcW w:w="368" w:type="pct"/>
            <w:vMerge/>
            <w:shd w:val="clear" w:color="auto" w:fill="auto"/>
          </w:tcPr>
          <w:p w14:paraId="70DFDBA7"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1225" w:type="pct"/>
            <w:shd w:val="clear" w:color="auto" w:fill="auto"/>
          </w:tcPr>
          <w:p w14:paraId="43F7CA8C"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56FA9558" w14:textId="14224217" w:rsidR="00554AD2" w:rsidRPr="00CD22D6"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tc>
      </w:tr>
      <w:tr w:rsidR="00554AD2" w:rsidRPr="007E00CC" w14:paraId="727056A3" w14:textId="42C68785" w:rsidTr="00296302">
        <w:trPr>
          <w:trHeight w:val="1965"/>
          <w:jc w:val="center"/>
        </w:trPr>
        <w:tc>
          <w:tcPr>
            <w:tcW w:w="597" w:type="pct"/>
            <w:vMerge w:val="restart"/>
            <w:shd w:val="clear" w:color="auto" w:fill="auto"/>
            <w:vAlign w:val="center"/>
          </w:tcPr>
          <w:p w14:paraId="01C4A4A5" w14:textId="1A600FAB" w:rsidR="00554AD2" w:rsidRPr="00CD22D6" w:rsidRDefault="00554AD2" w:rsidP="00701510">
            <w:pPr>
              <w:pStyle w:val="TableHeaderWhite"/>
              <w:spacing w:before="0"/>
              <w:jc w:val="center"/>
              <w:rPr>
                <w:color w:val="auto"/>
              </w:rPr>
            </w:pPr>
            <w:r w:rsidRPr="00CD22D6">
              <w:rPr>
                <w:color w:val="auto"/>
              </w:rPr>
              <w:t>Table 2</w:t>
            </w:r>
          </w:p>
        </w:tc>
        <w:tc>
          <w:tcPr>
            <w:tcW w:w="2810" w:type="pct"/>
            <w:vMerge w:val="restart"/>
            <w:shd w:val="clear" w:color="auto" w:fill="auto"/>
          </w:tcPr>
          <w:p w14:paraId="1F0D536B" w14:textId="3CEB80BE" w:rsidR="00554AD2" w:rsidRPr="00CD22D6" w:rsidRDefault="00554AD2" w:rsidP="00701510">
            <w:pPr>
              <w:spacing w:before="0"/>
              <w:rPr>
                <w:rStyle w:val="NEW"/>
                <w:rFonts w:asciiTheme="minorHAnsi" w:hAnsiTheme="minorHAnsi"/>
                <w:b/>
                <w:sz w:val="20"/>
                <w:szCs w:val="20"/>
              </w:rPr>
            </w:pPr>
            <w:r w:rsidRPr="00CD22D6">
              <w:rPr>
                <w:rStyle w:val="NEW"/>
                <w:rFonts w:asciiTheme="minorHAnsi" w:hAnsiTheme="minorHAnsi"/>
                <w:b/>
                <w:sz w:val="20"/>
                <w:szCs w:val="20"/>
              </w:rPr>
              <w:t xml:space="preserve">British Gas Response to Question 4: </w:t>
            </w:r>
          </w:p>
          <w:p w14:paraId="7AD71CD6" w14:textId="1CA81341" w:rsidR="00554AD2" w:rsidRPr="00CD22D6" w:rsidRDefault="00554AD2" w:rsidP="00701510">
            <w:pPr>
              <w:pStyle w:val="Quote"/>
              <w:spacing w:before="0"/>
              <w:rPr>
                <w:sz w:val="20"/>
                <w:szCs w:val="20"/>
              </w:rPr>
            </w:pPr>
            <w:r w:rsidRPr="00CD22D6">
              <w:rPr>
                <w:sz w:val="20"/>
                <w:szCs w:val="20"/>
              </w:rPr>
              <w:t xml:space="preserve">“We don’t believe Table 2 is useful in its current form. An alternative approach could be to include a table that allows DNOs to provide information related to specific risks and sensitivities that it is aware of that could impact the level or timing of revenues. For example, a DNO may have assumed that it will trigger a specific price control re-opener in its base </w:t>
            </w:r>
            <w:proofErr w:type="gramStart"/>
            <w:r w:rsidRPr="00CD22D6">
              <w:rPr>
                <w:sz w:val="20"/>
                <w:szCs w:val="20"/>
              </w:rPr>
              <w:t>forecast, but</w:t>
            </w:r>
            <w:proofErr w:type="gramEnd"/>
            <w:r w:rsidRPr="00CD22D6">
              <w:rPr>
                <w:sz w:val="20"/>
                <w:szCs w:val="20"/>
              </w:rPr>
              <w:t xml:space="preserve"> could use this table to highlight any uncertainty in the timing or scale of the revenue impact.”</w:t>
            </w:r>
          </w:p>
          <w:p w14:paraId="170A5AE0" w14:textId="77777777" w:rsidR="00554AD2" w:rsidRPr="00CD22D6" w:rsidRDefault="00554AD2" w:rsidP="00701510">
            <w:pPr>
              <w:spacing w:before="0"/>
              <w:rPr>
                <w:rStyle w:val="NEW"/>
                <w:rFonts w:asciiTheme="minorHAnsi" w:hAnsiTheme="minorHAnsi"/>
                <w:b/>
                <w:sz w:val="20"/>
                <w:szCs w:val="20"/>
              </w:rPr>
            </w:pPr>
            <w:r w:rsidRPr="00CD22D6">
              <w:rPr>
                <w:rStyle w:val="NEW"/>
                <w:rFonts w:asciiTheme="minorHAnsi" w:hAnsiTheme="minorHAnsi"/>
                <w:b/>
                <w:sz w:val="20"/>
                <w:szCs w:val="20"/>
              </w:rPr>
              <w:lastRenderedPageBreak/>
              <w:t xml:space="preserve">Working Group comment: </w:t>
            </w:r>
          </w:p>
          <w:p w14:paraId="3203AEFD" w14:textId="74B80B3F" w:rsidR="00554AD2" w:rsidRPr="00701510" w:rsidRDefault="00554AD2" w:rsidP="00701510">
            <w:pPr>
              <w:pStyle w:val="TableText"/>
              <w:spacing w:before="0" w:after="120"/>
              <w:rPr>
                <w:rFonts w:eastAsiaTheme="minorHAnsi"/>
                <w:lang w:val="en-GB"/>
              </w:rPr>
            </w:pPr>
            <w:r w:rsidRPr="00701510">
              <w:rPr>
                <w:rFonts w:eastAsiaTheme="minorHAnsi"/>
                <w:lang w:val="en-GB"/>
              </w:rPr>
              <w:t>The Working Group agreed that to do this, there would need to be a “free field” included in the table without a specified format which may lessen the commonality across the DNO areas. The Working Group will consider the inclusion of a table that allows DNOs to provide information related to the biggest risks to their revenue that they have identified.</w:t>
            </w:r>
          </w:p>
        </w:tc>
        <w:tc>
          <w:tcPr>
            <w:tcW w:w="368" w:type="pct"/>
            <w:vMerge w:val="restart"/>
            <w:shd w:val="clear" w:color="auto" w:fill="auto"/>
          </w:tcPr>
          <w:p w14:paraId="63E0C8B5" w14:textId="0DF2BCC9" w:rsidR="00554AD2" w:rsidRPr="00CD22D6" w:rsidRDefault="00554AD2" w:rsidP="00701510">
            <w:pPr>
              <w:spacing w:before="0"/>
              <w:rPr>
                <w:rStyle w:val="NEW"/>
                <w:rFonts w:asciiTheme="minorHAnsi" w:hAnsiTheme="minorHAnsi" w:cstheme="minorHAnsi"/>
                <w:sz w:val="20"/>
                <w:szCs w:val="20"/>
              </w:rPr>
            </w:pPr>
            <w:r w:rsidRPr="00554AD2">
              <w:rPr>
                <w:rStyle w:val="NEW"/>
                <w:rFonts w:asciiTheme="minorHAnsi" w:hAnsiTheme="minorHAnsi"/>
                <w:b/>
                <w:color w:val="ED7D31" w:themeColor="accent2"/>
                <w:sz w:val="20"/>
                <w:szCs w:val="20"/>
              </w:rPr>
              <w:lastRenderedPageBreak/>
              <w:t>Ongoing</w:t>
            </w:r>
          </w:p>
        </w:tc>
        <w:tc>
          <w:tcPr>
            <w:tcW w:w="1225" w:type="pct"/>
            <w:shd w:val="clear" w:color="auto" w:fill="auto"/>
          </w:tcPr>
          <w:p w14:paraId="38914B16"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5549DEFE" w14:textId="38FA4ECE"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554AD2" w:rsidRPr="007E00CC" w14:paraId="4561442A" w14:textId="77777777" w:rsidTr="00296302">
        <w:trPr>
          <w:trHeight w:val="1965"/>
          <w:jc w:val="center"/>
        </w:trPr>
        <w:tc>
          <w:tcPr>
            <w:tcW w:w="597" w:type="pct"/>
            <w:vMerge/>
            <w:shd w:val="clear" w:color="auto" w:fill="auto"/>
            <w:vAlign w:val="center"/>
          </w:tcPr>
          <w:p w14:paraId="404F02AF" w14:textId="77777777" w:rsidR="00554AD2" w:rsidRPr="00CD22D6" w:rsidRDefault="00554AD2" w:rsidP="00701510">
            <w:pPr>
              <w:pStyle w:val="TableHeaderWhite"/>
              <w:spacing w:before="0"/>
              <w:jc w:val="center"/>
              <w:rPr>
                <w:color w:val="auto"/>
              </w:rPr>
            </w:pPr>
          </w:p>
        </w:tc>
        <w:tc>
          <w:tcPr>
            <w:tcW w:w="2810" w:type="pct"/>
            <w:vMerge/>
            <w:shd w:val="clear" w:color="auto" w:fill="auto"/>
            <w:vAlign w:val="center"/>
          </w:tcPr>
          <w:p w14:paraId="3226D55B" w14:textId="77777777" w:rsidR="00554AD2" w:rsidRPr="00CD22D6" w:rsidRDefault="00554AD2" w:rsidP="00701510">
            <w:pPr>
              <w:spacing w:before="0"/>
              <w:rPr>
                <w:rStyle w:val="NEW"/>
                <w:rFonts w:asciiTheme="minorHAnsi" w:hAnsiTheme="minorHAnsi"/>
                <w:b/>
                <w:sz w:val="20"/>
                <w:szCs w:val="20"/>
              </w:rPr>
            </w:pPr>
          </w:p>
        </w:tc>
        <w:tc>
          <w:tcPr>
            <w:tcW w:w="368" w:type="pct"/>
            <w:vMerge/>
            <w:shd w:val="clear" w:color="auto" w:fill="auto"/>
          </w:tcPr>
          <w:p w14:paraId="16D3DF79"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1225" w:type="pct"/>
            <w:shd w:val="clear" w:color="auto" w:fill="auto"/>
          </w:tcPr>
          <w:p w14:paraId="75ADF712"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5930EF82" w14:textId="2DEC5D42"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554AD2" w:rsidRPr="007E00CC" w14:paraId="341E43F1" w14:textId="0DFCA2C6" w:rsidTr="00296302">
        <w:trPr>
          <w:trHeight w:val="1320"/>
          <w:jc w:val="center"/>
        </w:trPr>
        <w:tc>
          <w:tcPr>
            <w:tcW w:w="597" w:type="pct"/>
            <w:vMerge w:val="restart"/>
            <w:shd w:val="clear" w:color="auto" w:fill="auto"/>
            <w:vAlign w:val="center"/>
          </w:tcPr>
          <w:p w14:paraId="5AB8A51F" w14:textId="61949059" w:rsidR="00554AD2" w:rsidRPr="00CD22D6" w:rsidRDefault="00554AD2" w:rsidP="00701510">
            <w:pPr>
              <w:pStyle w:val="TableHeaderWhite"/>
              <w:spacing w:before="0"/>
              <w:jc w:val="center"/>
              <w:rPr>
                <w:color w:val="auto"/>
              </w:rPr>
            </w:pPr>
            <w:r w:rsidRPr="00CD22D6">
              <w:rPr>
                <w:color w:val="auto"/>
              </w:rPr>
              <w:t>Table 3</w:t>
            </w:r>
          </w:p>
        </w:tc>
        <w:tc>
          <w:tcPr>
            <w:tcW w:w="2810" w:type="pct"/>
            <w:vMerge w:val="restart"/>
            <w:shd w:val="clear" w:color="auto" w:fill="auto"/>
          </w:tcPr>
          <w:p w14:paraId="5B5E3320" w14:textId="77777777" w:rsidR="00554AD2" w:rsidRPr="00CD22D6" w:rsidRDefault="00554AD2" w:rsidP="00701510">
            <w:pPr>
              <w:spacing w:before="0"/>
              <w:rPr>
                <w:b/>
                <w:sz w:val="20"/>
                <w:szCs w:val="20"/>
              </w:rPr>
            </w:pPr>
            <w:r w:rsidRPr="00CD22D6">
              <w:rPr>
                <w:b/>
                <w:sz w:val="20"/>
                <w:szCs w:val="20"/>
              </w:rPr>
              <w:t>Haven Power response to question 5:</w:t>
            </w:r>
          </w:p>
          <w:p w14:paraId="4C0C15EC" w14:textId="42DF31FD" w:rsidR="00554AD2" w:rsidRPr="00CD22D6" w:rsidRDefault="00554AD2" w:rsidP="00701510">
            <w:pPr>
              <w:pStyle w:val="Quote"/>
              <w:spacing w:before="0"/>
              <w:rPr>
                <w:sz w:val="20"/>
                <w:szCs w:val="20"/>
              </w:rPr>
            </w:pPr>
            <w:r w:rsidRPr="00CD22D6">
              <w:rPr>
                <w:sz w:val="20"/>
                <w:szCs w:val="20"/>
              </w:rPr>
              <w:t>“We would suggest providing Table 3 in the same format as Annex 1 of the DUoS charging statements to improve ease of comparison between published and forecast tariffs.</w:t>
            </w:r>
          </w:p>
          <w:p w14:paraId="5FF43C8E" w14:textId="305FE924" w:rsidR="00554AD2" w:rsidRPr="00CD22D6" w:rsidRDefault="00554AD2" w:rsidP="00701510">
            <w:pPr>
              <w:pStyle w:val="Quote"/>
              <w:spacing w:before="0"/>
              <w:rPr>
                <w:sz w:val="20"/>
                <w:szCs w:val="20"/>
              </w:rPr>
            </w:pPr>
            <w:r w:rsidRPr="00CD22D6">
              <w:rPr>
                <w:sz w:val="20"/>
                <w:szCs w:val="20"/>
              </w:rPr>
              <w:t>Additional space for DNO commentary would also be useful, to provide details of which inputs have/have not been updated in the calculation of the illustrative tariffs and which are still liable to be changed.”</w:t>
            </w:r>
          </w:p>
          <w:p w14:paraId="75EB47A3" w14:textId="77777777" w:rsidR="00554AD2" w:rsidRPr="00CD22D6" w:rsidRDefault="00554AD2" w:rsidP="00701510">
            <w:pPr>
              <w:spacing w:before="0"/>
              <w:rPr>
                <w:rStyle w:val="NEW"/>
                <w:rFonts w:asciiTheme="minorHAnsi" w:hAnsiTheme="minorHAnsi"/>
                <w:b/>
                <w:sz w:val="20"/>
                <w:szCs w:val="20"/>
              </w:rPr>
            </w:pPr>
            <w:r w:rsidRPr="00CD22D6">
              <w:rPr>
                <w:rStyle w:val="NEW"/>
                <w:rFonts w:asciiTheme="minorHAnsi" w:hAnsiTheme="minorHAnsi"/>
                <w:b/>
                <w:sz w:val="20"/>
                <w:szCs w:val="20"/>
              </w:rPr>
              <w:t xml:space="preserve">Working Group comment: </w:t>
            </w:r>
          </w:p>
          <w:p w14:paraId="52C6995B" w14:textId="589A91F9" w:rsidR="00554AD2" w:rsidRPr="00CD22D6" w:rsidRDefault="00554AD2" w:rsidP="00701510">
            <w:pPr>
              <w:spacing w:before="0"/>
              <w:rPr>
                <w:sz w:val="20"/>
                <w:szCs w:val="20"/>
              </w:rPr>
            </w:pPr>
            <w:r w:rsidRPr="00CD22D6">
              <w:rPr>
                <w:sz w:val="20"/>
                <w:szCs w:val="20"/>
              </w:rPr>
              <w:t>The Working Group highlighted that Annex 1 has a different format to the template, but it would not be an issue to update and this will be considered by the group when developing the solution.</w:t>
            </w:r>
          </w:p>
        </w:tc>
        <w:tc>
          <w:tcPr>
            <w:tcW w:w="368" w:type="pct"/>
            <w:vMerge w:val="restart"/>
            <w:shd w:val="clear" w:color="auto" w:fill="auto"/>
          </w:tcPr>
          <w:p w14:paraId="00C3BEE0" w14:textId="453564DA" w:rsidR="00554AD2" w:rsidRPr="00CD22D6" w:rsidRDefault="00554AD2" w:rsidP="00701510">
            <w:pPr>
              <w:spacing w:before="0"/>
              <w:rPr>
                <w:rStyle w:val="NEW"/>
                <w:rFonts w:asciiTheme="minorHAnsi" w:hAnsiTheme="minorHAnsi" w:cstheme="minorHAnsi"/>
                <w:b/>
                <w:sz w:val="20"/>
                <w:szCs w:val="20"/>
              </w:rPr>
            </w:pPr>
            <w:r w:rsidRPr="00554AD2">
              <w:rPr>
                <w:rStyle w:val="NEW"/>
                <w:rFonts w:asciiTheme="minorHAnsi" w:hAnsiTheme="minorHAnsi"/>
                <w:b/>
                <w:color w:val="ED7D31" w:themeColor="accent2"/>
                <w:sz w:val="20"/>
                <w:szCs w:val="20"/>
              </w:rPr>
              <w:t>Ongoing</w:t>
            </w:r>
          </w:p>
        </w:tc>
        <w:tc>
          <w:tcPr>
            <w:tcW w:w="1225" w:type="pct"/>
            <w:shd w:val="clear" w:color="auto" w:fill="auto"/>
          </w:tcPr>
          <w:p w14:paraId="3F9C57F2"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2FFD3A02" w14:textId="6BE6B920"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554AD2" w:rsidRPr="007E00CC" w14:paraId="1A2837DD" w14:textId="77777777" w:rsidTr="00296302">
        <w:trPr>
          <w:trHeight w:val="1320"/>
          <w:jc w:val="center"/>
        </w:trPr>
        <w:tc>
          <w:tcPr>
            <w:tcW w:w="597" w:type="pct"/>
            <w:vMerge/>
            <w:shd w:val="clear" w:color="auto" w:fill="auto"/>
            <w:vAlign w:val="center"/>
          </w:tcPr>
          <w:p w14:paraId="25B86DDB" w14:textId="77777777" w:rsidR="00554AD2" w:rsidRPr="00CD22D6" w:rsidRDefault="00554AD2" w:rsidP="00701510">
            <w:pPr>
              <w:pStyle w:val="TableHeaderWhite"/>
              <w:spacing w:before="0"/>
              <w:jc w:val="center"/>
              <w:rPr>
                <w:color w:val="auto"/>
              </w:rPr>
            </w:pPr>
          </w:p>
        </w:tc>
        <w:tc>
          <w:tcPr>
            <w:tcW w:w="2810" w:type="pct"/>
            <w:vMerge/>
            <w:shd w:val="clear" w:color="auto" w:fill="auto"/>
          </w:tcPr>
          <w:p w14:paraId="2F5B40CD" w14:textId="77777777" w:rsidR="00554AD2" w:rsidRPr="00CD22D6" w:rsidRDefault="00554AD2" w:rsidP="00701510">
            <w:pPr>
              <w:spacing w:before="0"/>
              <w:rPr>
                <w:b/>
                <w:sz w:val="20"/>
                <w:szCs w:val="20"/>
              </w:rPr>
            </w:pPr>
          </w:p>
        </w:tc>
        <w:tc>
          <w:tcPr>
            <w:tcW w:w="368" w:type="pct"/>
            <w:vMerge/>
            <w:shd w:val="clear" w:color="auto" w:fill="auto"/>
          </w:tcPr>
          <w:p w14:paraId="5AD1D4EF"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1225" w:type="pct"/>
            <w:shd w:val="clear" w:color="auto" w:fill="auto"/>
          </w:tcPr>
          <w:p w14:paraId="0D58F524"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3EE2B435" w14:textId="28C12AF0"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554AD2" w:rsidRPr="007E00CC" w14:paraId="1810BF9E" w14:textId="77777777" w:rsidTr="00296302">
        <w:trPr>
          <w:jc w:val="center"/>
        </w:trPr>
        <w:tc>
          <w:tcPr>
            <w:tcW w:w="597" w:type="pct"/>
            <w:vMerge/>
            <w:shd w:val="clear" w:color="auto" w:fill="auto"/>
            <w:vAlign w:val="center"/>
          </w:tcPr>
          <w:p w14:paraId="5D5C3523" w14:textId="77777777" w:rsidR="00554AD2" w:rsidRPr="00CD22D6" w:rsidRDefault="00554AD2" w:rsidP="00701510">
            <w:pPr>
              <w:pStyle w:val="TableHeaderWhite"/>
              <w:spacing w:before="0"/>
              <w:jc w:val="center"/>
              <w:rPr>
                <w:color w:val="auto"/>
              </w:rPr>
            </w:pPr>
          </w:p>
        </w:tc>
        <w:tc>
          <w:tcPr>
            <w:tcW w:w="2810" w:type="pct"/>
            <w:shd w:val="clear" w:color="auto" w:fill="auto"/>
          </w:tcPr>
          <w:p w14:paraId="17376C2E" w14:textId="612DC401" w:rsidR="00554AD2" w:rsidRPr="00CD22D6" w:rsidRDefault="00554AD2" w:rsidP="00701510">
            <w:pPr>
              <w:spacing w:before="0"/>
              <w:rPr>
                <w:b/>
                <w:sz w:val="20"/>
                <w:szCs w:val="20"/>
              </w:rPr>
            </w:pPr>
            <w:r w:rsidRPr="00CD22D6">
              <w:rPr>
                <w:b/>
                <w:sz w:val="20"/>
                <w:szCs w:val="20"/>
              </w:rPr>
              <w:t xml:space="preserve">Working Group Conclusions </w:t>
            </w:r>
            <w:r w:rsidRPr="00CD22D6">
              <w:rPr>
                <w:rFonts w:cstheme="minorHAnsi"/>
                <w:b/>
                <w:sz w:val="20"/>
                <w:szCs w:val="20"/>
              </w:rPr>
              <w:t>from responses to Question 5</w:t>
            </w:r>
            <w:r w:rsidRPr="00CD22D6">
              <w:rPr>
                <w:b/>
                <w:sz w:val="20"/>
                <w:szCs w:val="20"/>
              </w:rPr>
              <w:t xml:space="preserve">: </w:t>
            </w:r>
          </w:p>
          <w:p w14:paraId="356F5536" w14:textId="700BFEB5" w:rsidR="00554AD2" w:rsidRPr="00CD22D6" w:rsidRDefault="00554AD2" w:rsidP="00701510">
            <w:pPr>
              <w:spacing w:before="0"/>
              <w:rPr>
                <w:sz w:val="20"/>
                <w:szCs w:val="20"/>
              </w:rPr>
            </w:pPr>
            <w:r w:rsidRPr="00CD22D6">
              <w:rPr>
                <w:sz w:val="20"/>
                <w:szCs w:val="20"/>
              </w:rPr>
              <w:t>The Working Group concluded that there were varying responses from industry on this question and the respondents’ comments would be considered in the round when developing the solution for the CP.</w:t>
            </w:r>
          </w:p>
        </w:tc>
        <w:tc>
          <w:tcPr>
            <w:tcW w:w="368" w:type="pct"/>
            <w:shd w:val="clear" w:color="auto" w:fill="auto"/>
          </w:tcPr>
          <w:p w14:paraId="0B24B5C3" w14:textId="3EB04B7B" w:rsidR="00554AD2" w:rsidRPr="00CD22D6" w:rsidRDefault="00554AD2" w:rsidP="00701510">
            <w:pPr>
              <w:spacing w:before="0"/>
              <w:rPr>
                <w:rStyle w:val="NEW"/>
                <w:rFonts w:asciiTheme="minorHAnsi" w:hAnsiTheme="minorHAnsi" w:cstheme="minorHAnsi"/>
                <w:b/>
                <w:sz w:val="20"/>
                <w:szCs w:val="20"/>
              </w:rPr>
            </w:pPr>
            <w:r w:rsidRPr="00554AD2">
              <w:rPr>
                <w:rStyle w:val="NEW"/>
                <w:rFonts w:asciiTheme="minorHAnsi" w:hAnsiTheme="minorHAnsi"/>
                <w:b/>
                <w:color w:val="ED7D31" w:themeColor="accent2"/>
                <w:sz w:val="20"/>
                <w:szCs w:val="20"/>
              </w:rPr>
              <w:t>Ongoing</w:t>
            </w:r>
          </w:p>
        </w:tc>
        <w:tc>
          <w:tcPr>
            <w:tcW w:w="1225" w:type="pct"/>
            <w:shd w:val="clear" w:color="auto" w:fill="auto"/>
          </w:tcPr>
          <w:p w14:paraId="1A5DB5B6" w14:textId="77777777" w:rsidR="00554AD2" w:rsidRPr="00CD22D6" w:rsidRDefault="00554AD2" w:rsidP="00701510">
            <w:pPr>
              <w:spacing w:before="0"/>
              <w:rPr>
                <w:rStyle w:val="NEW"/>
                <w:rFonts w:asciiTheme="minorHAnsi" w:hAnsiTheme="minorHAnsi" w:cstheme="minorHAnsi"/>
                <w:sz w:val="20"/>
                <w:szCs w:val="20"/>
              </w:rPr>
            </w:pPr>
          </w:p>
        </w:tc>
      </w:tr>
      <w:tr w:rsidR="00554AD2" w:rsidRPr="007E00CC" w14:paraId="478EF213" w14:textId="20A71B6C" w:rsidTr="00296302">
        <w:trPr>
          <w:trHeight w:val="608"/>
          <w:jc w:val="center"/>
        </w:trPr>
        <w:tc>
          <w:tcPr>
            <w:tcW w:w="597" w:type="pct"/>
            <w:vMerge w:val="restart"/>
            <w:shd w:val="clear" w:color="auto" w:fill="auto"/>
            <w:vAlign w:val="center"/>
          </w:tcPr>
          <w:p w14:paraId="082145B4" w14:textId="7A34216C" w:rsidR="00554AD2" w:rsidRPr="00CD22D6" w:rsidRDefault="00554AD2" w:rsidP="00701510">
            <w:pPr>
              <w:pStyle w:val="TableHeaderWhite"/>
              <w:spacing w:before="0"/>
              <w:jc w:val="center"/>
              <w:rPr>
                <w:color w:val="auto"/>
              </w:rPr>
            </w:pPr>
            <w:r w:rsidRPr="00CD22D6">
              <w:rPr>
                <w:color w:val="auto"/>
              </w:rPr>
              <w:t>Location of Cost Information Tables</w:t>
            </w:r>
          </w:p>
        </w:tc>
        <w:tc>
          <w:tcPr>
            <w:tcW w:w="2810" w:type="pct"/>
            <w:vMerge w:val="restart"/>
            <w:shd w:val="clear" w:color="auto" w:fill="auto"/>
            <w:vAlign w:val="center"/>
          </w:tcPr>
          <w:p w14:paraId="123E8FE8" w14:textId="0148EE62" w:rsidR="00554AD2" w:rsidRPr="00CD22D6" w:rsidRDefault="00554AD2" w:rsidP="00701510">
            <w:pPr>
              <w:spacing w:before="0"/>
              <w:rPr>
                <w:b/>
                <w:sz w:val="20"/>
                <w:szCs w:val="20"/>
              </w:rPr>
            </w:pPr>
            <w:r w:rsidRPr="00CD22D6">
              <w:rPr>
                <w:b/>
                <w:sz w:val="20"/>
                <w:szCs w:val="20"/>
              </w:rPr>
              <w:t xml:space="preserve">Working Group Conclusions </w:t>
            </w:r>
            <w:r w:rsidRPr="00CD22D6">
              <w:rPr>
                <w:rFonts w:cstheme="minorHAnsi"/>
                <w:b/>
                <w:sz w:val="20"/>
                <w:szCs w:val="20"/>
              </w:rPr>
              <w:t>from responses to Question 6</w:t>
            </w:r>
            <w:r w:rsidRPr="00CD22D6">
              <w:rPr>
                <w:b/>
                <w:sz w:val="20"/>
                <w:szCs w:val="20"/>
              </w:rPr>
              <w:t xml:space="preserve">: </w:t>
            </w:r>
          </w:p>
          <w:p w14:paraId="248CC813" w14:textId="443DCF17" w:rsidR="00554AD2" w:rsidRPr="00CD22D6" w:rsidRDefault="00554AD2" w:rsidP="00701510">
            <w:pPr>
              <w:spacing w:before="0"/>
              <w:rPr>
                <w:sz w:val="20"/>
                <w:szCs w:val="20"/>
              </w:rPr>
            </w:pPr>
            <w:r w:rsidRPr="00CD22D6">
              <w:rPr>
                <w:sz w:val="20"/>
                <w:szCs w:val="20"/>
              </w:rPr>
              <w:t xml:space="preserve">The Working Group concluded that </w:t>
            </w:r>
            <w:proofErr w:type="gramStart"/>
            <w:r w:rsidRPr="00CD22D6">
              <w:rPr>
                <w:sz w:val="20"/>
                <w:szCs w:val="20"/>
              </w:rPr>
              <w:t>the majority of</w:t>
            </w:r>
            <w:proofErr w:type="gramEnd"/>
            <w:r w:rsidRPr="00CD22D6">
              <w:rPr>
                <w:sz w:val="20"/>
                <w:szCs w:val="20"/>
              </w:rPr>
              <w:t xml:space="preserve"> support was for the cost information tables to be maintained within the DCUSA document. The Working Group highlighted that they must ensure that there is consistency in the template formats across DNO areas to guarantee that they are consistent across industry.</w:t>
            </w:r>
          </w:p>
        </w:tc>
        <w:tc>
          <w:tcPr>
            <w:tcW w:w="368" w:type="pct"/>
            <w:vMerge w:val="restart"/>
            <w:shd w:val="clear" w:color="auto" w:fill="auto"/>
          </w:tcPr>
          <w:p w14:paraId="3746E7AA" w14:textId="5ED0A523" w:rsidR="00554AD2" w:rsidRPr="00CD22D6" w:rsidRDefault="00554AD2" w:rsidP="00701510">
            <w:pPr>
              <w:spacing w:before="0"/>
              <w:rPr>
                <w:rStyle w:val="NEW"/>
                <w:rFonts w:asciiTheme="minorHAnsi" w:hAnsiTheme="minorHAnsi" w:cstheme="minorHAnsi"/>
                <w:b/>
                <w:sz w:val="20"/>
                <w:szCs w:val="20"/>
              </w:rPr>
            </w:pPr>
            <w:r w:rsidRPr="00554AD2">
              <w:rPr>
                <w:rStyle w:val="NEW"/>
                <w:rFonts w:asciiTheme="minorHAnsi" w:hAnsiTheme="minorHAnsi"/>
                <w:b/>
                <w:color w:val="ED7D31" w:themeColor="accent2"/>
                <w:sz w:val="20"/>
                <w:szCs w:val="20"/>
              </w:rPr>
              <w:t>Ongoing</w:t>
            </w:r>
          </w:p>
        </w:tc>
        <w:tc>
          <w:tcPr>
            <w:tcW w:w="1225" w:type="pct"/>
            <w:shd w:val="clear" w:color="auto" w:fill="auto"/>
          </w:tcPr>
          <w:p w14:paraId="77422658"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45D3B6A8" w14:textId="3FC5EFC9"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554AD2" w:rsidRPr="007E00CC" w14:paraId="0AA5D734" w14:textId="77777777" w:rsidTr="00296302">
        <w:trPr>
          <w:trHeight w:val="607"/>
          <w:jc w:val="center"/>
        </w:trPr>
        <w:tc>
          <w:tcPr>
            <w:tcW w:w="597" w:type="pct"/>
            <w:vMerge/>
            <w:shd w:val="clear" w:color="auto" w:fill="auto"/>
            <w:vAlign w:val="center"/>
          </w:tcPr>
          <w:p w14:paraId="701587C2" w14:textId="77777777" w:rsidR="00554AD2" w:rsidRPr="00CD22D6" w:rsidRDefault="00554AD2" w:rsidP="00701510">
            <w:pPr>
              <w:pStyle w:val="TableHeaderWhite"/>
              <w:spacing w:before="0"/>
              <w:jc w:val="center"/>
              <w:rPr>
                <w:color w:val="auto"/>
              </w:rPr>
            </w:pPr>
          </w:p>
        </w:tc>
        <w:tc>
          <w:tcPr>
            <w:tcW w:w="2810" w:type="pct"/>
            <w:vMerge/>
            <w:shd w:val="clear" w:color="auto" w:fill="auto"/>
            <w:vAlign w:val="center"/>
          </w:tcPr>
          <w:p w14:paraId="05060AF3" w14:textId="77777777" w:rsidR="00554AD2" w:rsidRPr="00CD22D6" w:rsidRDefault="00554AD2" w:rsidP="00701510">
            <w:pPr>
              <w:spacing w:before="0"/>
              <w:rPr>
                <w:b/>
                <w:sz w:val="20"/>
                <w:szCs w:val="20"/>
              </w:rPr>
            </w:pPr>
          </w:p>
        </w:tc>
        <w:tc>
          <w:tcPr>
            <w:tcW w:w="368" w:type="pct"/>
            <w:vMerge/>
            <w:shd w:val="clear" w:color="auto" w:fill="auto"/>
          </w:tcPr>
          <w:p w14:paraId="53DECE4A"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1225" w:type="pct"/>
            <w:shd w:val="clear" w:color="auto" w:fill="auto"/>
          </w:tcPr>
          <w:p w14:paraId="278CC890"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259CC7B3" w14:textId="5EF70E48"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554AD2" w:rsidRPr="007E00CC" w14:paraId="25AB1054" w14:textId="66131C40" w:rsidTr="00296302">
        <w:trPr>
          <w:trHeight w:val="1215"/>
          <w:jc w:val="center"/>
        </w:trPr>
        <w:tc>
          <w:tcPr>
            <w:tcW w:w="597" w:type="pct"/>
            <w:vMerge w:val="restart"/>
            <w:shd w:val="clear" w:color="auto" w:fill="auto"/>
            <w:vAlign w:val="center"/>
          </w:tcPr>
          <w:p w14:paraId="51E98C1B" w14:textId="16A89789" w:rsidR="00554AD2" w:rsidRPr="00CD22D6" w:rsidRDefault="00554AD2" w:rsidP="00701510">
            <w:pPr>
              <w:pStyle w:val="TableHeaderWhite"/>
              <w:spacing w:before="0"/>
              <w:jc w:val="center"/>
              <w:rPr>
                <w:color w:val="auto"/>
              </w:rPr>
            </w:pPr>
            <w:r w:rsidRPr="00CD22D6">
              <w:rPr>
                <w:color w:val="auto"/>
              </w:rPr>
              <w:t>Usefulness and Components of ARP</w:t>
            </w:r>
          </w:p>
        </w:tc>
        <w:tc>
          <w:tcPr>
            <w:tcW w:w="2810" w:type="pct"/>
            <w:vMerge w:val="restart"/>
            <w:shd w:val="clear" w:color="auto" w:fill="auto"/>
            <w:vAlign w:val="center"/>
          </w:tcPr>
          <w:p w14:paraId="18B8CA43" w14:textId="6D453E1B" w:rsidR="00554AD2" w:rsidRPr="00CD22D6" w:rsidRDefault="00554AD2" w:rsidP="00701510">
            <w:pPr>
              <w:spacing w:before="0"/>
              <w:rPr>
                <w:rFonts w:cstheme="minorHAnsi"/>
                <w:b/>
                <w:sz w:val="20"/>
                <w:szCs w:val="20"/>
              </w:rPr>
            </w:pPr>
            <w:r w:rsidRPr="00CD22D6">
              <w:rPr>
                <w:rFonts w:cstheme="minorHAnsi"/>
                <w:b/>
                <w:sz w:val="20"/>
                <w:szCs w:val="20"/>
              </w:rPr>
              <w:t xml:space="preserve">Working Group Conclusions from responses to Question 7: </w:t>
            </w:r>
          </w:p>
          <w:p w14:paraId="09CEACF9" w14:textId="04505425" w:rsidR="00554AD2" w:rsidRPr="00CD22D6" w:rsidRDefault="00554AD2" w:rsidP="00701510">
            <w:pPr>
              <w:spacing w:before="0"/>
              <w:rPr>
                <w:rFonts w:cstheme="minorHAnsi"/>
                <w:sz w:val="20"/>
                <w:szCs w:val="20"/>
              </w:rPr>
            </w:pPr>
            <w:r w:rsidRPr="00CD22D6">
              <w:rPr>
                <w:rFonts w:cstheme="minorHAnsi"/>
                <w:sz w:val="20"/>
                <w:szCs w:val="20"/>
              </w:rPr>
              <w:lastRenderedPageBreak/>
              <w:t>The Working Group concluded that there was a 50:50 split in responses to this question. It was agreed that they may need to consult further on this to determine party views on whether there is be a strong view on using the CDCM models instead of the ARP.</w:t>
            </w:r>
          </w:p>
          <w:p w14:paraId="4D6C9965" w14:textId="5DB0B66E" w:rsidR="00554AD2" w:rsidRPr="00CD22D6" w:rsidRDefault="00554AD2" w:rsidP="00701510">
            <w:pPr>
              <w:spacing w:before="0"/>
              <w:rPr>
                <w:rFonts w:cstheme="minorHAnsi"/>
                <w:b/>
                <w:sz w:val="20"/>
                <w:szCs w:val="20"/>
              </w:rPr>
            </w:pPr>
            <w:r w:rsidRPr="00CD22D6">
              <w:rPr>
                <w:rFonts w:cstheme="minorHAnsi"/>
                <w:b/>
                <w:sz w:val="20"/>
                <w:szCs w:val="20"/>
              </w:rPr>
              <w:t xml:space="preserve">Working Group Conclusions from responses to Question 8: </w:t>
            </w:r>
          </w:p>
          <w:p w14:paraId="1D66091D" w14:textId="18F85610" w:rsidR="00554AD2" w:rsidRPr="00CD22D6" w:rsidRDefault="00554AD2" w:rsidP="00701510">
            <w:pPr>
              <w:spacing w:before="0"/>
              <w:rPr>
                <w:rFonts w:cstheme="minorHAnsi"/>
                <w:sz w:val="20"/>
                <w:szCs w:val="20"/>
              </w:rPr>
            </w:pPr>
            <w:r w:rsidRPr="00CD22D6">
              <w:rPr>
                <w:rFonts w:cstheme="minorHAnsi"/>
                <w:sz w:val="20"/>
                <w:szCs w:val="20"/>
              </w:rPr>
              <w:t>The Working Group concluded that some respondents found varying elements of the ARP useful. Working Group members agreed that they would re-review responses to this question and will consider the useful elements when developing their solution.</w:t>
            </w:r>
          </w:p>
        </w:tc>
        <w:tc>
          <w:tcPr>
            <w:tcW w:w="368" w:type="pct"/>
            <w:vMerge w:val="restart"/>
            <w:shd w:val="clear" w:color="auto" w:fill="auto"/>
          </w:tcPr>
          <w:p w14:paraId="3E426027" w14:textId="2C3CCC35" w:rsidR="00554AD2" w:rsidRPr="00CD22D6" w:rsidRDefault="00554AD2" w:rsidP="00701510">
            <w:pPr>
              <w:spacing w:before="0"/>
              <w:rPr>
                <w:rStyle w:val="NEW"/>
                <w:rFonts w:asciiTheme="minorHAnsi" w:hAnsiTheme="minorHAnsi" w:cstheme="minorHAnsi"/>
                <w:b/>
                <w:sz w:val="20"/>
                <w:szCs w:val="20"/>
              </w:rPr>
            </w:pPr>
            <w:r w:rsidRPr="00554AD2">
              <w:rPr>
                <w:rStyle w:val="NEW"/>
                <w:rFonts w:asciiTheme="minorHAnsi" w:hAnsiTheme="minorHAnsi"/>
                <w:b/>
                <w:color w:val="ED7D31" w:themeColor="accent2"/>
                <w:sz w:val="20"/>
                <w:szCs w:val="20"/>
              </w:rPr>
              <w:lastRenderedPageBreak/>
              <w:t>Ongoing</w:t>
            </w:r>
          </w:p>
        </w:tc>
        <w:tc>
          <w:tcPr>
            <w:tcW w:w="1225" w:type="pct"/>
            <w:shd w:val="clear" w:color="auto" w:fill="auto"/>
          </w:tcPr>
          <w:p w14:paraId="770EB971"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062FBF8F" w14:textId="0AED0F6D"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554AD2" w:rsidRPr="007E00CC" w14:paraId="367FF252" w14:textId="77777777" w:rsidTr="00296302">
        <w:trPr>
          <w:trHeight w:val="1215"/>
          <w:jc w:val="center"/>
        </w:trPr>
        <w:tc>
          <w:tcPr>
            <w:tcW w:w="597" w:type="pct"/>
            <w:vMerge/>
            <w:shd w:val="clear" w:color="auto" w:fill="auto"/>
            <w:vAlign w:val="center"/>
          </w:tcPr>
          <w:p w14:paraId="7FF0AA15" w14:textId="77777777" w:rsidR="00554AD2" w:rsidRPr="00CD22D6" w:rsidRDefault="00554AD2" w:rsidP="00701510">
            <w:pPr>
              <w:pStyle w:val="TableHeaderWhite"/>
              <w:spacing w:before="0"/>
              <w:jc w:val="center"/>
              <w:rPr>
                <w:color w:val="auto"/>
              </w:rPr>
            </w:pPr>
          </w:p>
        </w:tc>
        <w:tc>
          <w:tcPr>
            <w:tcW w:w="2810" w:type="pct"/>
            <w:vMerge/>
            <w:shd w:val="clear" w:color="auto" w:fill="auto"/>
            <w:vAlign w:val="center"/>
          </w:tcPr>
          <w:p w14:paraId="4EB9D194" w14:textId="77777777" w:rsidR="00554AD2" w:rsidRPr="00CD22D6" w:rsidRDefault="00554AD2" w:rsidP="00701510">
            <w:pPr>
              <w:spacing w:before="0"/>
              <w:rPr>
                <w:rFonts w:cstheme="minorHAnsi"/>
                <w:b/>
                <w:sz w:val="20"/>
                <w:szCs w:val="20"/>
              </w:rPr>
            </w:pPr>
          </w:p>
        </w:tc>
        <w:tc>
          <w:tcPr>
            <w:tcW w:w="368" w:type="pct"/>
            <w:vMerge/>
            <w:shd w:val="clear" w:color="auto" w:fill="auto"/>
          </w:tcPr>
          <w:p w14:paraId="49A9EE9C"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1225" w:type="pct"/>
            <w:shd w:val="clear" w:color="auto" w:fill="auto"/>
          </w:tcPr>
          <w:p w14:paraId="43758750"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1733BA54" w14:textId="0ED4E32E" w:rsidR="00554AD2" w:rsidRPr="00CD22D6" w:rsidRDefault="00554AD2" w:rsidP="00701510">
            <w:pPr>
              <w:spacing w:before="0"/>
              <w:rPr>
                <w:rStyle w:val="NEW"/>
                <w:rFonts w:asciiTheme="minorHAnsi" w:hAnsiTheme="minorHAnsi" w:cstheme="minorHAnsi"/>
                <w:sz w:val="20"/>
                <w:szCs w:val="20"/>
              </w:rPr>
            </w:pPr>
            <w:r>
              <w:rPr>
                <w:rStyle w:val="NEW"/>
                <w:rFonts w:asciiTheme="minorHAnsi" w:hAnsiTheme="minorHAnsi"/>
                <w:sz w:val="20"/>
                <w:szCs w:val="20"/>
              </w:rPr>
              <w:t>Date:</w:t>
            </w:r>
          </w:p>
        </w:tc>
      </w:tr>
      <w:tr w:rsidR="00554AD2" w:rsidRPr="007E00CC" w14:paraId="403393AC" w14:textId="70D49189" w:rsidTr="00296302">
        <w:trPr>
          <w:trHeight w:val="608"/>
          <w:jc w:val="center"/>
        </w:trPr>
        <w:tc>
          <w:tcPr>
            <w:tcW w:w="597" w:type="pct"/>
            <w:vMerge w:val="restart"/>
            <w:shd w:val="clear" w:color="auto" w:fill="auto"/>
            <w:vAlign w:val="center"/>
          </w:tcPr>
          <w:p w14:paraId="2E9E2E4C" w14:textId="095FCF46" w:rsidR="00554AD2" w:rsidRPr="00CD22D6" w:rsidRDefault="00554AD2" w:rsidP="00701510">
            <w:pPr>
              <w:pStyle w:val="TableHeaderWhite"/>
              <w:spacing w:before="0"/>
              <w:jc w:val="center"/>
              <w:rPr>
                <w:color w:val="auto"/>
              </w:rPr>
            </w:pPr>
            <w:r w:rsidRPr="00CD22D6">
              <w:rPr>
                <w:color w:val="auto"/>
              </w:rPr>
              <w:t>Combining ARP and Cost Information Tables and quarterly submission</w:t>
            </w:r>
          </w:p>
        </w:tc>
        <w:tc>
          <w:tcPr>
            <w:tcW w:w="2810" w:type="pct"/>
            <w:vMerge w:val="restart"/>
            <w:shd w:val="clear" w:color="auto" w:fill="auto"/>
            <w:vAlign w:val="center"/>
          </w:tcPr>
          <w:p w14:paraId="75C41C68" w14:textId="77777777" w:rsidR="00554AD2" w:rsidRPr="00CD22D6" w:rsidRDefault="00554AD2" w:rsidP="00701510">
            <w:pPr>
              <w:spacing w:before="0"/>
              <w:rPr>
                <w:rFonts w:cstheme="minorHAnsi"/>
                <w:b/>
                <w:sz w:val="20"/>
                <w:szCs w:val="20"/>
              </w:rPr>
            </w:pPr>
            <w:r w:rsidRPr="00CD22D6">
              <w:rPr>
                <w:rFonts w:cstheme="minorHAnsi"/>
                <w:b/>
                <w:sz w:val="20"/>
                <w:szCs w:val="20"/>
              </w:rPr>
              <w:t xml:space="preserve">Working Group Conclusions from responses to Question 9: </w:t>
            </w:r>
          </w:p>
          <w:p w14:paraId="70558B68" w14:textId="26ED8550" w:rsidR="00296302" w:rsidRPr="00296302" w:rsidRDefault="00554AD2" w:rsidP="00296302">
            <w:pPr>
              <w:pStyle w:val="TableText"/>
              <w:spacing w:before="0" w:after="120"/>
              <w:rPr>
                <w:rFonts w:eastAsiaTheme="minorHAnsi" w:cstheme="minorHAnsi"/>
                <w:lang w:val="en-GB"/>
              </w:rPr>
            </w:pPr>
            <w:r w:rsidRPr="00296302">
              <w:rPr>
                <w:rFonts w:eastAsiaTheme="minorHAnsi" w:cstheme="minorHAnsi"/>
                <w:lang w:val="en-GB"/>
              </w:rPr>
              <w:t>The Working Group concluded that all respondents, who provided a preference, were supportive of combining the ARP and the Cost Information Tables. However, there were some varying degrees of caveats that will need to be considered by the Working Group when developing the solution for the change.</w:t>
            </w:r>
          </w:p>
          <w:p w14:paraId="7645D654" w14:textId="77777777" w:rsidR="00701510" w:rsidRPr="00296302" w:rsidRDefault="00701510" w:rsidP="00296302">
            <w:pPr>
              <w:pStyle w:val="ListParagraph"/>
              <w:numPr>
                <w:ilvl w:val="0"/>
                <w:numId w:val="21"/>
              </w:numPr>
              <w:spacing w:before="0"/>
              <w:rPr>
                <w:rFonts w:cstheme="minorHAnsi"/>
                <w:sz w:val="20"/>
                <w:szCs w:val="20"/>
              </w:rPr>
            </w:pPr>
            <w:r w:rsidRPr="00296302">
              <w:rPr>
                <w:rFonts w:cstheme="minorHAnsi"/>
                <w:sz w:val="20"/>
                <w:szCs w:val="20"/>
              </w:rPr>
              <w:t>Working Group need to consider the complexity of doing so as the publication needs to still be fit for purpose.</w:t>
            </w:r>
          </w:p>
          <w:p w14:paraId="1A835DD9" w14:textId="703C5324" w:rsidR="00701510" w:rsidRPr="00296302" w:rsidRDefault="00701510" w:rsidP="00296302">
            <w:pPr>
              <w:pStyle w:val="ListParagraph"/>
              <w:numPr>
                <w:ilvl w:val="0"/>
                <w:numId w:val="21"/>
              </w:numPr>
              <w:spacing w:before="0"/>
              <w:rPr>
                <w:rFonts w:cstheme="minorHAnsi"/>
                <w:sz w:val="20"/>
                <w:szCs w:val="20"/>
              </w:rPr>
            </w:pPr>
            <w:r w:rsidRPr="00296302">
              <w:rPr>
                <w:rFonts w:cstheme="minorHAnsi"/>
                <w:sz w:val="20"/>
                <w:szCs w:val="20"/>
              </w:rPr>
              <w:t>The Working Group highlighted that some respondents suggested the removal of table 3 in a previous question and so this will be considered when developing the solution for the change.</w:t>
            </w:r>
          </w:p>
        </w:tc>
        <w:tc>
          <w:tcPr>
            <w:tcW w:w="368" w:type="pct"/>
            <w:vMerge w:val="restart"/>
            <w:shd w:val="clear" w:color="auto" w:fill="auto"/>
          </w:tcPr>
          <w:p w14:paraId="3C29D26A" w14:textId="6276FE46" w:rsidR="00554AD2" w:rsidRPr="00CD22D6" w:rsidRDefault="00554AD2" w:rsidP="00701510">
            <w:pPr>
              <w:spacing w:before="0"/>
              <w:rPr>
                <w:rStyle w:val="NEW"/>
                <w:rFonts w:asciiTheme="minorHAnsi" w:hAnsiTheme="minorHAnsi" w:cstheme="minorHAnsi"/>
                <w:b/>
                <w:sz w:val="20"/>
                <w:szCs w:val="20"/>
              </w:rPr>
            </w:pPr>
            <w:r w:rsidRPr="00554AD2">
              <w:rPr>
                <w:rStyle w:val="NEW"/>
                <w:rFonts w:asciiTheme="minorHAnsi" w:hAnsiTheme="minorHAnsi"/>
                <w:b/>
                <w:color w:val="ED7D31" w:themeColor="accent2"/>
                <w:sz w:val="20"/>
                <w:szCs w:val="20"/>
              </w:rPr>
              <w:t>Ongoing</w:t>
            </w:r>
          </w:p>
        </w:tc>
        <w:tc>
          <w:tcPr>
            <w:tcW w:w="1225" w:type="pct"/>
            <w:shd w:val="clear" w:color="auto" w:fill="auto"/>
          </w:tcPr>
          <w:p w14:paraId="7D238C4A"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Template/Model:</w:t>
            </w:r>
          </w:p>
          <w:p w14:paraId="3E824713" w14:textId="7B5AE2DA"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p w14:paraId="5ED1E350" w14:textId="77777777" w:rsidR="00296302" w:rsidRDefault="00296302" w:rsidP="00701510">
            <w:pPr>
              <w:spacing w:before="0"/>
              <w:rPr>
                <w:rStyle w:val="NEW"/>
                <w:rFonts w:asciiTheme="minorHAnsi" w:hAnsiTheme="minorHAnsi"/>
                <w:sz w:val="20"/>
                <w:szCs w:val="20"/>
              </w:rPr>
            </w:pPr>
          </w:p>
          <w:p w14:paraId="25E024A4" w14:textId="1CD1FA76" w:rsidR="00296302" w:rsidRPr="00CD22D6" w:rsidRDefault="00296302" w:rsidP="00701510">
            <w:pPr>
              <w:spacing w:before="0"/>
              <w:rPr>
                <w:rStyle w:val="NEW"/>
                <w:rFonts w:asciiTheme="minorHAnsi" w:hAnsiTheme="minorHAnsi" w:cstheme="minorHAnsi"/>
                <w:sz w:val="20"/>
                <w:szCs w:val="20"/>
              </w:rPr>
            </w:pPr>
          </w:p>
        </w:tc>
      </w:tr>
      <w:tr w:rsidR="00554AD2" w:rsidRPr="007E00CC" w14:paraId="21843256" w14:textId="77777777" w:rsidTr="00296302">
        <w:trPr>
          <w:trHeight w:val="607"/>
          <w:jc w:val="center"/>
        </w:trPr>
        <w:tc>
          <w:tcPr>
            <w:tcW w:w="597" w:type="pct"/>
            <w:vMerge/>
            <w:shd w:val="clear" w:color="auto" w:fill="auto"/>
            <w:vAlign w:val="center"/>
          </w:tcPr>
          <w:p w14:paraId="6F232D44" w14:textId="77777777" w:rsidR="00554AD2" w:rsidRPr="00CD22D6" w:rsidRDefault="00554AD2" w:rsidP="00701510">
            <w:pPr>
              <w:pStyle w:val="TableHeaderWhite"/>
              <w:spacing w:before="0"/>
              <w:jc w:val="center"/>
              <w:rPr>
                <w:color w:val="auto"/>
              </w:rPr>
            </w:pPr>
          </w:p>
        </w:tc>
        <w:tc>
          <w:tcPr>
            <w:tcW w:w="2810" w:type="pct"/>
            <w:vMerge/>
            <w:shd w:val="clear" w:color="auto" w:fill="auto"/>
            <w:vAlign w:val="center"/>
          </w:tcPr>
          <w:p w14:paraId="338C8A6E" w14:textId="77777777" w:rsidR="00554AD2" w:rsidRPr="00CD22D6" w:rsidRDefault="00554AD2" w:rsidP="00701510">
            <w:pPr>
              <w:spacing w:before="0"/>
              <w:rPr>
                <w:rFonts w:cstheme="minorHAnsi"/>
                <w:b/>
                <w:sz w:val="20"/>
                <w:szCs w:val="20"/>
              </w:rPr>
            </w:pPr>
          </w:p>
        </w:tc>
        <w:tc>
          <w:tcPr>
            <w:tcW w:w="368" w:type="pct"/>
            <w:vMerge/>
            <w:shd w:val="clear" w:color="auto" w:fill="auto"/>
          </w:tcPr>
          <w:p w14:paraId="31A77A33" w14:textId="77777777" w:rsidR="00554AD2" w:rsidRPr="00554AD2" w:rsidRDefault="00554AD2" w:rsidP="00701510">
            <w:pPr>
              <w:spacing w:before="0"/>
              <w:rPr>
                <w:rStyle w:val="NEW"/>
                <w:rFonts w:asciiTheme="minorHAnsi" w:hAnsiTheme="minorHAnsi"/>
                <w:b/>
                <w:color w:val="ED7D31" w:themeColor="accent2"/>
                <w:sz w:val="20"/>
                <w:szCs w:val="20"/>
              </w:rPr>
            </w:pPr>
          </w:p>
        </w:tc>
        <w:tc>
          <w:tcPr>
            <w:tcW w:w="1225" w:type="pct"/>
            <w:shd w:val="clear" w:color="auto" w:fill="auto"/>
          </w:tcPr>
          <w:p w14:paraId="77E1775C"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Legal Text:</w:t>
            </w:r>
          </w:p>
          <w:p w14:paraId="44AB5403" w14:textId="77777777" w:rsidR="00554AD2" w:rsidRDefault="00554AD2" w:rsidP="00701510">
            <w:pPr>
              <w:spacing w:before="0"/>
              <w:rPr>
                <w:rStyle w:val="NEW"/>
                <w:rFonts w:asciiTheme="minorHAnsi" w:hAnsiTheme="minorHAnsi"/>
                <w:sz w:val="20"/>
                <w:szCs w:val="20"/>
              </w:rPr>
            </w:pPr>
            <w:r>
              <w:rPr>
                <w:rStyle w:val="NEW"/>
                <w:rFonts w:asciiTheme="minorHAnsi" w:hAnsiTheme="minorHAnsi"/>
                <w:sz w:val="20"/>
                <w:szCs w:val="20"/>
              </w:rPr>
              <w:t>Date:</w:t>
            </w:r>
          </w:p>
          <w:p w14:paraId="0107C103" w14:textId="012006A3" w:rsidR="00296302" w:rsidRPr="00CD22D6" w:rsidRDefault="00296302" w:rsidP="00701510">
            <w:pPr>
              <w:spacing w:before="0"/>
              <w:rPr>
                <w:rStyle w:val="NEW"/>
                <w:rFonts w:asciiTheme="minorHAnsi" w:hAnsiTheme="minorHAnsi" w:cstheme="minorHAnsi"/>
                <w:sz w:val="20"/>
                <w:szCs w:val="20"/>
              </w:rPr>
            </w:pPr>
          </w:p>
        </w:tc>
      </w:tr>
      <w:tr w:rsidR="00296302" w:rsidRPr="007E00CC" w14:paraId="05C42C40" w14:textId="77777777" w:rsidTr="00296302">
        <w:trPr>
          <w:trHeight w:val="607"/>
          <w:jc w:val="center"/>
        </w:trPr>
        <w:tc>
          <w:tcPr>
            <w:tcW w:w="597" w:type="pct"/>
            <w:shd w:val="clear" w:color="auto" w:fill="auto"/>
            <w:vAlign w:val="center"/>
          </w:tcPr>
          <w:p w14:paraId="5B6684C7" w14:textId="77777777" w:rsidR="00296302" w:rsidRPr="00CD22D6" w:rsidRDefault="00296302" w:rsidP="00701510">
            <w:pPr>
              <w:pStyle w:val="TableHeaderWhite"/>
              <w:spacing w:before="0"/>
              <w:jc w:val="center"/>
              <w:rPr>
                <w:color w:val="auto"/>
              </w:rPr>
            </w:pPr>
          </w:p>
        </w:tc>
        <w:tc>
          <w:tcPr>
            <w:tcW w:w="2810" w:type="pct"/>
            <w:shd w:val="clear" w:color="auto" w:fill="auto"/>
            <w:vAlign w:val="center"/>
          </w:tcPr>
          <w:p w14:paraId="514114A7" w14:textId="77777777" w:rsidR="00296302" w:rsidRPr="00CD22D6" w:rsidRDefault="00296302" w:rsidP="00296302">
            <w:pPr>
              <w:spacing w:before="0" w:after="0"/>
              <w:rPr>
                <w:b/>
                <w:sz w:val="20"/>
                <w:szCs w:val="20"/>
              </w:rPr>
            </w:pPr>
            <w:r w:rsidRPr="00CD22D6">
              <w:rPr>
                <w:b/>
                <w:sz w:val="20"/>
                <w:szCs w:val="20"/>
              </w:rPr>
              <w:t>Electricity North West Limited response to Question 5:</w:t>
            </w:r>
          </w:p>
          <w:p w14:paraId="48C22B1A" w14:textId="77777777" w:rsidR="00296302" w:rsidRPr="00CD22D6" w:rsidRDefault="00296302" w:rsidP="00296302">
            <w:pPr>
              <w:pStyle w:val="Quote"/>
              <w:spacing w:before="0"/>
              <w:rPr>
                <w:sz w:val="20"/>
                <w:szCs w:val="20"/>
              </w:rPr>
            </w:pPr>
            <w:r w:rsidRPr="00CD22D6">
              <w:rPr>
                <w:sz w:val="20"/>
                <w:szCs w:val="20"/>
              </w:rPr>
              <w:t>“In some circumstances Table 3 refers to a year for which charges have already been published (i.e. in the February submission, where t+2 charges have been published by the end of the prior December) and is therefore pointless for that quarter’s submission.  This is a situation that has arisen because of changes to the charging timetable not being reflected in the provisions of Schedule 15 and should be addressed in any changes to be made.</w:t>
            </w:r>
          </w:p>
          <w:p w14:paraId="5BFC5584" w14:textId="77777777" w:rsidR="00296302" w:rsidRPr="00CD22D6" w:rsidRDefault="00296302" w:rsidP="00296302">
            <w:pPr>
              <w:pStyle w:val="Quote"/>
              <w:spacing w:before="0"/>
              <w:rPr>
                <w:rFonts w:cstheme="minorHAnsi"/>
                <w:sz w:val="20"/>
                <w:szCs w:val="20"/>
              </w:rPr>
            </w:pPr>
            <w:r w:rsidRPr="00CD22D6">
              <w:rPr>
                <w:rFonts w:cstheme="minorHAnsi"/>
                <w:sz w:val="20"/>
                <w:szCs w:val="20"/>
              </w:rPr>
              <w:t>For quarters where Table 3 refers to a future year with unpublished charges our view is that it is still of little value.</w:t>
            </w:r>
          </w:p>
          <w:p w14:paraId="7A699752" w14:textId="77777777" w:rsidR="00296302" w:rsidRDefault="00296302" w:rsidP="00296302">
            <w:pPr>
              <w:pStyle w:val="Quote"/>
              <w:spacing w:before="0"/>
              <w:rPr>
                <w:rFonts w:cstheme="minorHAnsi"/>
                <w:sz w:val="20"/>
                <w:szCs w:val="20"/>
              </w:rPr>
            </w:pPr>
            <w:r w:rsidRPr="00CD22D6">
              <w:rPr>
                <w:rFonts w:cstheme="minorHAnsi"/>
                <w:sz w:val="20"/>
                <w:szCs w:val="20"/>
              </w:rPr>
              <w:t>The calculation of CDCM charges includes a wide range of inputs, most of which vary over time, and often cannot be predicted with a satisfactory degree of precision in advance.</w:t>
            </w:r>
          </w:p>
          <w:p w14:paraId="3FDF13FC" w14:textId="77777777" w:rsidR="00296302" w:rsidRPr="00CD22D6" w:rsidRDefault="00296302" w:rsidP="00296302">
            <w:pPr>
              <w:pStyle w:val="Quote"/>
              <w:spacing w:before="0"/>
              <w:rPr>
                <w:rFonts w:cstheme="minorHAnsi"/>
                <w:sz w:val="20"/>
                <w:szCs w:val="20"/>
              </w:rPr>
            </w:pPr>
            <w:r w:rsidRPr="00CD22D6">
              <w:rPr>
                <w:rFonts w:cstheme="minorHAnsi"/>
                <w:sz w:val="20"/>
                <w:szCs w:val="20"/>
              </w:rPr>
              <w:t xml:space="preserve">It is our view that Table 3 is particularly unhelpful as it does not provide any insight to the underlying assumptions that have been used.  In this regard it </w:t>
            </w:r>
            <w:proofErr w:type="gramStart"/>
            <w:r w:rsidRPr="00CD22D6">
              <w:rPr>
                <w:rFonts w:cstheme="minorHAnsi"/>
                <w:sz w:val="20"/>
                <w:szCs w:val="20"/>
              </w:rPr>
              <w:t>is in contrast to</w:t>
            </w:r>
            <w:proofErr w:type="gramEnd"/>
            <w:r w:rsidRPr="00CD22D6">
              <w:rPr>
                <w:rFonts w:cstheme="minorHAnsi"/>
                <w:sz w:val="20"/>
                <w:szCs w:val="20"/>
              </w:rPr>
              <w:t xml:space="preserve"> the ARP and the annual publication of charges.</w:t>
            </w:r>
          </w:p>
          <w:p w14:paraId="6C0E734D" w14:textId="77777777" w:rsidR="00296302" w:rsidRDefault="00296302" w:rsidP="00296302">
            <w:pPr>
              <w:pStyle w:val="Quote"/>
              <w:spacing w:before="0"/>
              <w:rPr>
                <w:sz w:val="20"/>
                <w:szCs w:val="20"/>
              </w:rPr>
            </w:pPr>
            <w:r w:rsidRPr="00CD22D6">
              <w:rPr>
                <w:sz w:val="20"/>
                <w:szCs w:val="20"/>
              </w:rPr>
              <w:t>We suggest that Table 3 is removed.”</w:t>
            </w:r>
          </w:p>
          <w:p w14:paraId="016A3921" w14:textId="77777777" w:rsidR="00296302" w:rsidRPr="00CD22D6" w:rsidRDefault="00296302" w:rsidP="00296302">
            <w:pPr>
              <w:pStyle w:val="BodyText"/>
              <w:rPr>
                <w:b/>
                <w:sz w:val="20"/>
                <w:szCs w:val="20"/>
              </w:rPr>
            </w:pPr>
            <w:r w:rsidRPr="00CD22D6">
              <w:rPr>
                <w:b/>
                <w:sz w:val="20"/>
                <w:szCs w:val="20"/>
              </w:rPr>
              <w:lastRenderedPageBreak/>
              <w:t>Electricity North West Limited response to Question 10:</w:t>
            </w:r>
          </w:p>
          <w:p w14:paraId="631E46AE" w14:textId="77777777" w:rsidR="00296302" w:rsidRDefault="00296302" w:rsidP="00296302">
            <w:pPr>
              <w:pStyle w:val="Quote"/>
              <w:spacing w:before="0"/>
              <w:rPr>
                <w:sz w:val="20"/>
                <w:szCs w:val="20"/>
              </w:rPr>
            </w:pPr>
            <w:r w:rsidRPr="00CD22D6">
              <w:rPr>
                <w:sz w:val="20"/>
                <w:szCs w:val="20"/>
              </w:rPr>
              <w:t xml:space="preserve">“Furthermore, we would also ask that the working group </w:t>
            </w:r>
            <w:proofErr w:type="gramStart"/>
            <w:r w:rsidRPr="00CD22D6">
              <w:rPr>
                <w:sz w:val="20"/>
                <w:szCs w:val="20"/>
              </w:rPr>
              <w:t>give consideration to</w:t>
            </w:r>
            <w:proofErr w:type="gramEnd"/>
            <w:r w:rsidRPr="00CD22D6">
              <w:rPr>
                <w:sz w:val="20"/>
                <w:szCs w:val="20"/>
              </w:rPr>
              <w:t xml:space="preserve"> other key industry publication dates, namely:</w:t>
            </w:r>
          </w:p>
          <w:p w14:paraId="1B8A7B0C" w14:textId="77777777" w:rsidR="00296302" w:rsidRDefault="00296302" w:rsidP="00296302">
            <w:pPr>
              <w:pStyle w:val="Quote"/>
              <w:numPr>
                <w:ilvl w:val="0"/>
                <w:numId w:val="20"/>
              </w:numPr>
              <w:spacing w:before="0"/>
              <w:rPr>
                <w:sz w:val="20"/>
                <w:szCs w:val="20"/>
              </w:rPr>
            </w:pPr>
            <w:r w:rsidRPr="00CD22D6">
              <w:rPr>
                <w:sz w:val="20"/>
                <w:szCs w:val="20"/>
              </w:rPr>
              <w:t>The issuing by Ofgem of the final MOD term in mid-November</w:t>
            </w:r>
          </w:p>
          <w:p w14:paraId="2A9F47A3" w14:textId="77777777" w:rsidR="00296302" w:rsidRDefault="00296302" w:rsidP="00296302">
            <w:pPr>
              <w:pStyle w:val="Quote"/>
              <w:numPr>
                <w:ilvl w:val="0"/>
                <w:numId w:val="20"/>
              </w:numPr>
              <w:spacing w:before="0"/>
              <w:rPr>
                <w:sz w:val="20"/>
                <w:szCs w:val="20"/>
              </w:rPr>
            </w:pPr>
            <w:r w:rsidRPr="00CD22D6">
              <w:rPr>
                <w:sz w:val="20"/>
                <w:szCs w:val="20"/>
              </w:rPr>
              <w:t>The issuing by Ofgem of directions relating to incentives (although in relation to these the timing may not be formally set out).</w:t>
            </w:r>
          </w:p>
          <w:p w14:paraId="3B8C0E9C" w14:textId="77777777" w:rsidR="00296302" w:rsidRPr="00CD22D6" w:rsidRDefault="00296302" w:rsidP="00296302">
            <w:pPr>
              <w:pStyle w:val="Quote"/>
              <w:numPr>
                <w:ilvl w:val="0"/>
                <w:numId w:val="20"/>
              </w:numPr>
              <w:spacing w:before="0"/>
              <w:rPr>
                <w:sz w:val="20"/>
                <w:szCs w:val="20"/>
              </w:rPr>
            </w:pPr>
            <w:r w:rsidRPr="00CD22D6">
              <w:rPr>
                <w:sz w:val="20"/>
                <w:szCs w:val="20"/>
              </w:rPr>
              <w:t>The M16 and RIIO accounts completed in July.</w:t>
            </w:r>
          </w:p>
          <w:p w14:paraId="07193AB6" w14:textId="77777777" w:rsidR="00296302" w:rsidRPr="00CD22D6" w:rsidRDefault="00296302" w:rsidP="00296302">
            <w:pPr>
              <w:pStyle w:val="Quote"/>
              <w:spacing w:before="0"/>
              <w:rPr>
                <w:sz w:val="20"/>
                <w:szCs w:val="20"/>
              </w:rPr>
            </w:pPr>
            <w:r w:rsidRPr="00CD22D6">
              <w:rPr>
                <w:sz w:val="20"/>
                <w:szCs w:val="20"/>
              </w:rPr>
              <w:t>Taking all these factors into account, it is our view that it would be better to provide a single mid-year update sometime around the end of August (once the HMT figures are available) in addition to the existing ARP commitment at the time of price setting at the end of December.  There may be some merit in providing an update in late May once DNOs know their year-end revenues and the May quarter HMT inflation forecast is available.</w:t>
            </w:r>
          </w:p>
          <w:p w14:paraId="6DEE08E5" w14:textId="77777777" w:rsidR="00296302" w:rsidRDefault="00296302" w:rsidP="00296302">
            <w:pPr>
              <w:pStyle w:val="Quote"/>
              <w:spacing w:before="0"/>
              <w:rPr>
                <w:sz w:val="20"/>
                <w:szCs w:val="20"/>
              </w:rPr>
            </w:pPr>
            <w:r w:rsidRPr="00CD22D6">
              <w:rPr>
                <w:sz w:val="20"/>
                <w:szCs w:val="20"/>
              </w:rPr>
              <w:t>We see little merit in providing quarterly updates in February (too near to the recently issued ARP at the end of December, and little new industry information available), or in November (just one month prior to the issuing of final prices and a new ARP).”</w:t>
            </w:r>
          </w:p>
          <w:p w14:paraId="2C74AE03" w14:textId="77777777" w:rsidR="00296302" w:rsidRPr="00CD22D6" w:rsidRDefault="00296302" w:rsidP="00296302">
            <w:pPr>
              <w:pStyle w:val="BodyText"/>
              <w:rPr>
                <w:b/>
                <w:sz w:val="20"/>
                <w:szCs w:val="20"/>
              </w:rPr>
            </w:pPr>
            <w:r w:rsidRPr="00CD22D6">
              <w:rPr>
                <w:b/>
                <w:sz w:val="20"/>
                <w:szCs w:val="20"/>
              </w:rPr>
              <w:t xml:space="preserve">Working Group Conclusions: </w:t>
            </w:r>
          </w:p>
          <w:p w14:paraId="1344784B" w14:textId="77777777" w:rsidR="00296302" w:rsidRDefault="00296302" w:rsidP="00296302">
            <w:pPr>
              <w:pStyle w:val="BodyText"/>
              <w:rPr>
                <w:sz w:val="20"/>
                <w:szCs w:val="20"/>
              </w:rPr>
            </w:pPr>
            <w:r w:rsidRPr="00CD22D6">
              <w:rPr>
                <w:sz w:val="20"/>
                <w:szCs w:val="20"/>
              </w:rPr>
              <w:t xml:space="preserve">The Working Group concluded that </w:t>
            </w:r>
            <w:proofErr w:type="gramStart"/>
            <w:r w:rsidRPr="00CD22D6">
              <w:rPr>
                <w:sz w:val="20"/>
                <w:szCs w:val="20"/>
              </w:rPr>
              <w:t>the majority of</w:t>
            </w:r>
            <w:proofErr w:type="gramEnd"/>
            <w:r w:rsidRPr="00CD22D6">
              <w:rPr>
                <w:sz w:val="20"/>
                <w:szCs w:val="20"/>
              </w:rPr>
              <w:t xml:space="preserve"> respondents were supportive of aligning the publication of the Cost Information Tables with the publication of the HM Treasury Forecasts. The Working Group also agreed that they would be supportive with the suggestion made by ENWL to move the publication dates but highlighted that these would need to be within the first 5 working days of January, June and September. Working Group members would need to consider whether a March publication would be required when they develop the solution for the change.  </w:t>
            </w:r>
          </w:p>
          <w:p w14:paraId="07009A37" w14:textId="77777777" w:rsidR="00296302" w:rsidRPr="00CD22D6" w:rsidRDefault="00296302" w:rsidP="00701510">
            <w:pPr>
              <w:spacing w:before="0"/>
              <w:rPr>
                <w:rFonts w:cstheme="minorHAnsi"/>
                <w:b/>
                <w:sz w:val="20"/>
                <w:szCs w:val="20"/>
              </w:rPr>
            </w:pPr>
          </w:p>
        </w:tc>
        <w:tc>
          <w:tcPr>
            <w:tcW w:w="368" w:type="pct"/>
            <w:shd w:val="clear" w:color="auto" w:fill="auto"/>
          </w:tcPr>
          <w:p w14:paraId="3D28F43E" w14:textId="77777777" w:rsidR="00296302" w:rsidRPr="00554AD2" w:rsidRDefault="00296302" w:rsidP="00701510">
            <w:pPr>
              <w:spacing w:before="0"/>
              <w:rPr>
                <w:rStyle w:val="NEW"/>
                <w:rFonts w:asciiTheme="minorHAnsi" w:hAnsiTheme="minorHAnsi"/>
                <w:b/>
                <w:color w:val="ED7D31" w:themeColor="accent2"/>
                <w:sz w:val="20"/>
                <w:szCs w:val="20"/>
              </w:rPr>
            </w:pPr>
          </w:p>
        </w:tc>
        <w:tc>
          <w:tcPr>
            <w:tcW w:w="1225" w:type="pct"/>
            <w:shd w:val="clear" w:color="auto" w:fill="auto"/>
          </w:tcPr>
          <w:p w14:paraId="672EB434" w14:textId="77777777" w:rsidR="00296302" w:rsidRDefault="00296302" w:rsidP="00701510">
            <w:pPr>
              <w:spacing w:before="0"/>
              <w:rPr>
                <w:rStyle w:val="NEW"/>
                <w:rFonts w:asciiTheme="minorHAnsi" w:hAnsiTheme="minorHAnsi"/>
                <w:sz w:val="20"/>
                <w:szCs w:val="20"/>
              </w:rPr>
            </w:pPr>
          </w:p>
        </w:tc>
      </w:tr>
      <w:tr w:rsidR="00296302" w:rsidRPr="007E00CC" w14:paraId="3B0CB061" w14:textId="3175EA27" w:rsidTr="00296302">
        <w:trPr>
          <w:jc w:val="center"/>
        </w:trPr>
        <w:tc>
          <w:tcPr>
            <w:tcW w:w="597" w:type="pct"/>
            <w:tcBorders>
              <w:right w:val="single" w:sz="4" w:space="0" w:color="auto"/>
            </w:tcBorders>
            <w:shd w:val="clear" w:color="auto" w:fill="auto"/>
            <w:vAlign w:val="center"/>
          </w:tcPr>
          <w:p w14:paraId="624F5BE8" w14:textId="22C8D715" w:rsidR="00554AD2" w:rsidRPr="00CD22D6" w:rsidRDefault="00554AD2" w:rsidP="00701510">
            <w:pPr>
              <w:pStyle w:val="TableHeaderWhite"/>
              <w:spacing w:before="0"/>
              <w:jc w:val="center"/>
              <w:rPr>
                <w:color w:val="auto"/>
              </w:rPr>
            </w:pPr>
            <w:r w:rsidRPr="00CD22D6">
              <w:rPr>
                <w:color w:val="auto"/>
              </w:rPr>
              <w:t>Quarterly submission of combined elements</w:t>
            </w:r>
          </w:p>
        </w:tc>
        <w:tc>
          <w:tcPr>
            <w:tcW w:w="2810" w:type="pct"/>
            <w:tcBorders>
              <w:top w:val="single" w:sz="4" w:space="0" w:color="auto"/>
              <w:left w:val="single" w:sz="4" w:space="0" w:color="auto"/>
              <w:bottom w:val="single" w:sz="4" w:space="0" w:color="auto"/>
              <w:right w:val="single" w:sz="4" w:space="0" w:color="auto"/>
            </w:tcBorders>
            <w:shd w:val="clear" w:color="auto" w:fill="auto"/>
            <w:vAlign w:val="center"/>
          </w:tcPr>
          <w:p w14:paraId="3309E857" w14:textId="77777777" w:rsidR="00554AD2" w:rsidRPr="00CD22D6" w:rsidRDefault="00554AD2" w:rsidP="00701510">
            <w:pPr>
              <w:spacing w:before="0"/>
              <w:rPr>
                <w:b/>
                <w:sz w:val="20"/>
                <w:szCs w:val="20"/>
              </w:rPr>
            </w:pPr>
            <w:r w:rsidRPr="00CD22D6">
              <w:rPr>
                <w:b/>
                <w:sz w:val="20"/>
                <w:szCs w:val="20"/>
              </w:rPr>
              <w:t xml:space="preserve">Working Group Conclusions: </w:t>
            </w:r>
          </w:p>
          <w:p w14:paraId="5ECB685F" w14:textId="65C433F3" w:rsidR="00554AD2" w:rsidRPr="00CD22D6" w:rsidRDefault="00554AD2" w:rsidP="00701510">
            <w:pPr>
              <w:spacing w:before="0"/>
              <w:rPr>
                <w:sz w:val="20"/>
                <w:szCs w:val="20"/>
              </w:rPr>
            </w:pPr>
            <w:r w:rsidRPr="00CD22D6">
              <w:rPr>
                <w:sz w:val="20"/>
                <w:szCs w:val="20"/>
              </w:rPr>
              <w:t xml:space="preserve">The Working Group concluded that </w:t>
            </w:r>
            <w:proofErr w:type="gramStart"/>
            <w:r w:rsidRPr="00CD22D6">
              <w:rPr>
                <w:sz w:val="20"/>
                <w:szCs w:val="20"/>
              </w:rPr>
              <w:t>the majority of</w:t>
            </w:r>
            <w:proofErr w:type="gramEnd"/>
            <w:r w:rsidRPr="00CD22D6">
              <w:rPr>
                <w:sz w:val="20"/>
                <w:szCs w:val="20"/>
              </w:rPr>
              <w:t xml:space="preserve"> respondents are supportive of providing a consolidated set of tables, but the Working Group need to consider previous responses to questions 7, 8 and 9 to determine which tables and elements are useful to parties.</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E2406F5" w14:textId="2E0F2897" w:rsidR="00554AD2" w:rsidRPr="00CD22D6" w:rsidRDefault="00554AD2" w:rsidP="00701510">
            <w:pPr>
              <w:spacing w:before="0"/>
              <w:rPr>
                <w:rStyle w:val="NEW"/>
                <w:rFonts w:asciiTheme="minorHAnsi" w:hAnsiTheme="minorHAnsi" w:cs="Calibri"/>
                <w:b/>
                <w:sz w:val="20"/>
                <w:szCs w:val="20"/>
              </w:rPr>
            </w:pPr>
            <w:r w:rsidRPr="00554AD2">
              <w:rPr>
                <w:rStyle w:val="NEW"/>
                <w:rFonts w:asciiTheme="minorHAnsi" w:hAnsiTheme="minorHAnsi"/>
                <w:b/>
                <w:color w:val="ED7D31" w:themeColor="accent2"/>
                <w:sz w:val="20"/>
                <w:szCs w:val="20"/>
              </w:rPr>
              <w:t>Ongoing</w:t>
            </w:r>
          </w:p>
        </w:tc>
        <w:tc>
          <w:tcPr>
            <w:tcW w:w="1225" w:type="pct"/>
            <w:tcBorders>
              <w:left w:val="single" w:sz="4" w:space="0" w:color="auto"/>
            </w:tcBorders>
            <w:shd w:val="clear" w:color="auto" w:fill="auto"/>
          </w:tcPr>
          <w:p w14:paraId="13A4A6BF" w14:textId="76784217" w:rsidR="00554AD2" w:rsidRPr="00CD22D6" w:rsidRDefault="00554AD2" w:rsidP="00701510">
            <w:pPr>
              <w:spacing w:before="0"/>
              <w:rPr>
                <w:rStyle w:val="NEW"/>
                <w:rFonts w:asciiTheme="minorHAnsi" w:hAnsiTheme="minorHAnsi" w:cs="Calibri"/>
                <w:sz w:val="20"/>
                <w:szCs w:val="20"/>
              </w:rPr>
            </w:pPr>
          </w:p>
        </w:tc>
      </w:tr>
      <w:tr w:rsidR="00296302" w:rsidRPr="007E00CC" w14:paraId="111900D8" w14:textId="2E9DB94A" w:rsidTr="00296302">
        <w:trPr>
          <w:jc w:val="center"/>
        </w:trPr>
        <w:tc>
          <w:tcPr>
            <w:tcW w:w="597" w:type="pct"/>
            <w:shd w:val="clear" w:color="auto" w:fill="auto"/>
            <w:vAlign w:val="center"/>
          </w:tcPr>
          <w:p w14:paraId="26105DF0" w14:textId="2E339CF2" w:rsidR="00554AD2" w:rsidRPr="00CD22D6" w:rsidRDefault="00554AD2" w:rsidP="00701510">
            <w:pPr>
              <w:pStyle w:val="TableHeaderWhite"/>
              <w:spacing w:before="0"/>
              <w:jc w:val="center"/>
              <w:rPr>
                <w:color w:val="auto"/>
              </w:rPr>
            </w:pPr>
            <w:r w:rsidRPr="00CD22D6">
              <w:rPr>
                <w:color w:val="auto"/>
              </w:rPr>
              <w:t>Provision of teleconference</w:t>
            </w:r>
          </w:p>
        </w:tc>
        <w:tc>
          <w:tcPr>
            <w:tcW w:w="2810" w:type="pct"/>
            <w:tcBorders>
              <w:top w:val="single" w:sz="4" w:space="0" w:color="auto"/>
            </w:tcBorders>
            <w:shd w:val="clear" w:color="auto" w:fill="auto"/>
            <w:vAlign w:val="center"/>
          </w:tcPr>
          <w:p w14:paraId="0EDAC89B" w14:textId="77777777" w:rsidR="00554AD2" w:rsidRPr="00CD22D6" w:rsidRDefault="00554AD2" w:rsidP="00701510">
            <w:pPr>
              <w:spacing w:before="0"/>
              <w:rPr>
                <w:rStyle w:val="NEW"/>
                <w:rFonts w:asciiTheme="minorHAnsi" w:hAnsiTheme="minorHAnsi" w:cs="Calibri"/>
                <w:b/>
                <w:sz w:val="20"/>
                <w:szCs w:val="20"/>
              </w:rPr>
            </w:pPr>
            <w:r w:rsidRPr="00CD22D6">
              <w:rPr>
                <w:rStyle w:val="NEW"/>
                <w:rFonts w:asciiTheme="minorHAnsi" w:hAnsiTheme="minorHAnsi" w:cs="Calibri"/>
                <w:b/>
                <w:sz w:val="20"/>
                <w:szCs w:val="20"/>
              </w:rPr>
              <w:t xml:space="preserve">Working Group Conclusions: </w:t>
            </w:r>
          </w:p>
          <w:p w14:paraId="5CF07DDA" w14:textId="1B545F5A" w:rsidR="00554AD2" w:rsidRPr="00CD22D6" w:rsidRDefault="00554AD2" w:rsidP="00701510">
            <w:pPr>
              <w:spacing w:before="0"/>
              <w:rPr>
                <w:rStyle w:val="NEW"/>
                <w:rFonts w:asciiTheme="minorHAnsi" w:hAnsiTheme="minorHAnsi" w:cs="Calibri"/>
                <w:sz w:val="20"/>
                <w:szCs w:val="20"/>
              </w:rPr>
            </w:pPr>
            <w:r w:rsidRPr="00CD22D6">
              <w:rPr>
                <w:rStyle w:val="NEW"/>
                <w:rFonts w:asciiTheme="minorHAnsi" w:hAnsiTheme="minorHAnsi" w:cs="Calibri"/>
                <w:sz w:val="20"/>
                <w:szCs w:val="20"/>
              </w:rPr>
              <w:lastRenderedPageBreak/>
              <w:t xml:space="preserve">The Working Group concluded that </w:t>
            </w:r>
            <w:proofErr w:type="gramStart"/>
            <w:r w:rsidRPr="00CD22D6">
              <w:rPr>
                <w:rStyle w:val="NEW"/>
                <w:rFonts w:asciiTheme="minorHAnsi" w:hAnsiTheme="minorHAnsi" w:cs="Calibri"/>
                <w:sz w:val="20"/>
                <w:szCs w:val="20"/>
              </w:rPr>
              <w:t>the majority of</w:t>
            </w:r>
            <w:proofErr w:type="gramEnd"/>
            <w:r w:rsidRPr="00CD22D6">
              <w:rPr>
                <w:rStyle w:val="NEW"/>
                <w:rFonts w:asciiTheme="minorHAnsi" w:hAnsiTheme="minorHAnsi" w:cs="Calibri"/>
                <w:sz w:val="20"/>
                <w:szCs w:val="20"/>
              </w:rPr>
              <w:t xml:space="preserve"> respondents were supportive of the DCP066A teleconferences and that the DCUSA Secretariat should host these. The Working Group also agreed that the DNOs should look at aligning their presentations and consider either recording the meetings or ensuring that there is some sort of minutes or report provided after the calls so that industry can </w:t>
            </w:r>
            <w:proofErr w:type="gramStart"/>
            <w:r w:rsidRPr="00CD22D6">
              <w:rPr>
                <w:rStyle w:val="NEW"/>
                <w:rFonts w:asciiTheme="minorHAnsi" w:hAnsiTheme="minorHAnsi" w:cs="Calibri"/>
                <w:sz w:val="20"/>
                <w:szCs w:val="20"/>
              </w:rPr>
              <w:t>refer back</w:t>
            </w:r>
            <w:proofErr w:type="gramEnd"/>
            <w:r w:rsidRPr="00CD22D6">
              <w:rPr>
                <w:rStyle w:val="NEW"/>
                <w:rFonts w:asciiTheme="minorHAnsi" w:hAnsiTheme="minorHAnsi" w:cs="Calibri"/>
                <w:sz w:val="20"/>
                <w:szCs w:val="20"/>
              </w:rPr>
              <w:t xml:space="preserve"> to the discussion if it is required.</w:t>
            </w:r>
          </w:p>
        </w:tc>
        <w:tc>
          <w:tcPr>
            <w:tcW w:w="368" w:type="pct"/>
            <w:tcBorders>
              <w:top w:val="single" w:sz="4" w:space="0" w:color="auto"/>
            </w:tcBorders>
            <w:shd w:val="clear" w:color="auto" w:fill="auto"/>
          </w:tcPr>
          <w:p w14:paraId="0F0112CC" w14:textId="64854CF1" w:rsidR="00554AD2" w:rsidRPr="00CD22D6" w:rsidRDefault="00554AD2" w:rsidP="00701510">
            <w:pPr>
              <w:spacing w:before="0"/>
              <w:rPr>
                <w:rStyle w:val="NEW"/>
                <w:rFonts w:asciiTheme="minorHAnsi" w:hAnsiTheme="minorHAnsi" w:cs="Calibri"/>
                <w:b/>
                <w:sz w:val="20"/>
                <w:szCs w:val="20"/>
              </w:rPr>
            </w:pPr>
            <w:r w:rsidRPr="00554AD2">
              <w:rPr>
                <w:rStyle w:val="NEW"/>
                <w:rFonts w:asciiTheme="minorHAnsi" w:hAnsiTheme="minorHAnsi"/>
                <w:b/>
                <w:color w:val="ED7D31" w:themeColor="accent2"/>
                <w:sz w:val="20"/>
                <w:szCs w:val="20"/>
              </w:rPr>
              <w:lastRenderedPageBreak/>
              <w:t>Ongoing</w:t>
            </w:r>
          </w:p>
        </w:tc>
        <w:tc>
          <w:tcPr>
            <w:tcW w:w="1225" w:type="pct"/>
            <w:shd w:val="clear" w:color="auto" w:fill="auto"/>
          </w:tcPr>
          <w:p w14:paraId="73DA25CB" w14:textId="5229EA90" w:rsidR="00554AD2" w:rsidRPr="00CD22D6" w:rsidRDefault="00554AD2" w:rsidP="00701510">
            <w:pPr>
              <w:spacing w:before="0"/>
              <w:rPr>
                <w:rStyle w:val="NEW"/>
                <w:rFonts w:asciiTheme="minorHAnsi" w:hAnsiTheme="minorHAnsi" w:cstheme="minorHAnsi"/>
                <w:sz w:val="20"/>
                <w:szCs w:val="20"/>
              </w:rPr>
            </w:pPr>
          </w:p>
        </w:tc>
      </w:tr>
      <w:tr w:rsidR="00296302" w:rsidRPr="007E00CC" w14:paraId="40A4EBA3" w14:textId="4DB2B049" w:rsidTr="00296302">
        <w:trPr>
          <w:jc w:val="center"/>
        </w:trPr>
        <w:tc>
          <w:tcPr>
            <w:tcW w:w="597" w:type="pct"/>
            <w:shd w:val="clear" w:color="auto" w:fill="auto"/>
            <w:vAlign w:val="center"/>
          </w:tcPr>
          <w:p w14:paraId="36513D66" w14:textId="35150F0F" w:rsidR="00554AD2" w:rsidRPr="00CD22D6" w:rsidRDefault="00554AD2" w:rsidP="00701510">
            <w:pPr>
              <w:pStyle w:val="TableHeaderWhite"/>
              <w:spacing w:before="0"/>
              <w:jc w:val="center"/>
              <w:rPr>
                <w:color w:val="auto"/>
              </w:rPr>
            </w:pPr>
            <w:r w:rsidRPr="00CD22D6">
              <w:rPr>
                <w:color w:val="auto"/>
              </w:rPr>
              <w:t>Implementation Date</w:t>
            </w:r>
          </w:p>
        </w:tc>
        <w:tc>
          <w:tcPr>
            <w:tcW w:w="2810" w:type="pct"/>
            <w:shd w:val="clear" w:color="auto" w:fill="auto"/>
            <w:vAlign w:val="center"/>
          </w:tcPr>
          <w:p w14:paraId="07F0D877" w14:textId="77777777" w:rsidR="00554AD2" w:rsidRPr="00CD22D6" w:rsidRDefault="00554AD2" w:rsidP="00701510">
            <w:pPr>
              <w:spacing w:before="0"/>
              <w:rPr>
                <w:rStyle w:val="NEW"/>
                <w:rFonts w:asciiTheme="minorHAnsi" w:hAnsiTheme="minorHAnsi" w:cs="Calibri"/>
                <w:b/>
                <w:sz w:val="20"/>
                <w:szCs w:val="20"/>
              </w:rPr>
            </w:pPr>
            <w:r w:rsidRPr="00CD22D6">
              <w:rPr>
                <w:rStyle w:val="NEW"/>
                <w:rFonts w:asciiTheme="minorHAnsi" w:hAnsiTheme="minorHAnsi" w:cs="Calibri"/>
                <w:b/>
                <w:sz w:val="20"/>
                <w:szCs w:val="20"/>
              </w:rPr>
              <w:t xml:space="preserve">Working Group Conclusions: </w:t>
            </w:r>
          </w:p>
          <w:p w14:paraId="65AD33B1" w14:textId="585675C4" w:rsidR="00554AD2" w:rsidRPr="00CD22D6" w:rsidRDefault="00554AD2" w:rsidP="00701510">
            <w:pPr>
              <w:spacing w:before="0"/>
              <w:rPr>
                <w:rStyle w:val="NEW"/>
                <w:rFonts w:asciiTheme="minorHAnsi" w:hAnsiTheme="minorHAnsi" w:cs="Calibri"/>
                <w:sz w:val="20"/>
                <w:szCs w:val="20"/>
              </w:rPr>
            </w:pPr>
            <w:r w:rsidRPr="00CD22D6">
              <w:rPr>
                <w:rStyle w:val="NEW"/>
                <w:rFonts w:asciiTheme="minorHAnsi" w:hAnsiTheme="minorHAnsi" w:cs="Calibri"/>
                <w:sz w:val="20"/>
                <w:szCs w:val="20"/>
              </w:rPr>
              <w:t>The Working Group concluded that they are happy with the proposed implementation date. Consideration of the current arrangements when organising the DCP066A teleconferences and publishing the Cost Information Tables/ARP will be taken in to account so that there is no duplication of effort by industry.</w:t>
            </w:r>
          </w:p>
        </w:tc>
        <w:tc>
          <w:tcPr>
            <w:tcW w:w="368" w:type="pct"/>
            <w:shd w:val="clear" w:color="auto" w:fill="auto"/>
          </w:tcPr>
          <w:p w14:paraId="6C79AFDA" w14:textId="00E101BA" w:rsidR="00554AD2" w:rsidRPr="00CD22D6" w:rsidRDefault="00554AD2" w:rsidP="00701510">
            <w:pPr>
              <w:spacing w:before="0"/>
              <w:rPr>
                <w:rStyle w:val="NEW"/>
                <w:rFonts w:asciiTheme="minorHAnsi" w:hAnsiTheme="minorHAnsi" w:cs="Calibri"/>
                <w:b/>
                <w:sz w:val="20"/>
                <w:szCs w:val="20"/>
              </w:rPr>
            </w:pPr>
            <w:r w:rsidRPr="00554AD2">
              <w:rPr>
                <w:rStyle w:val="NEW"/>
                <w:rFonts w:asciiTheme="minorHAnsi" w:hAnsiTheme="minorHAnsi"/>
                <w:b/>
                <w:color w:val="ED7D31" w:themeColor="accent2"/>
                <w:sz w:val="20"/>
                <w:szCs w:val="20"/>
              </w:rPr>
              <w:t>Ongoing</w:t>
            </w:r>
          </w:p>
        </w:tc>
        <w:tc>
          <w:tcPr>
            <w:tcW w:w="1225" w:type="pct"/>
            <w:shd w:val="clear" w:color="auto" w:fill="auto"/>
          </w:tcPr>
          <w:p w14:paraId="5B21CAFE" w14:textId="4E28501A" w:rsidR="00554AD2" w:rsidRPr="00CD22D6" w:rsidRDefault="00554AD2" w:rsidP="00701510">
            <w:pPr>
              <w:spacing w:before="0"/>
              <w:rPr>
                <w:rStyle w:val="NEW"/>
                <w:rFonts w:asciiTheme="minorHAnsi" w:hAnsiTheme="minorHAnsi" w:cstheme="minorHAnsi"/>
                <w:sz w:val="20"/>
                <w:szCs w:val="20"/>
              </w:rPr>
            </w:pPr>
          </w:p>
        </w:tc>
      </w:tr>
    </w:tbl>
    <w:p w14:paraId="1C155155" w14:textId="7A4F0909" w:rsidR="00AB27B5" w:rsidRDefault="00AB27B5" w:rsidP="00701510">
      <w:pPr>
        <w:spacing w:before="0"/>
      </w:pPr>
    </w:p>
    <w:sectPr w:rsidR="00AB27B5" w:rsidSect="00F052D7">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720" w:bottom="568"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1AB6A" w14:textId="77777777" w:rsidR="00FD31DD" w:rsidRDefault="00FD31DD" w:rsidP="007113AC">
      <w:pPr>
        <w:spacing w:before="0" w:after="0"/>
      </w:pPr>
      <w:r>
        <w:separator/>
      </w:r>
    </w:p>
  </w:endnote>
  <w:endnote w:type="continuationSeparator" w:id="0">
    <w:p w14:paraId="13D821CC" w14:textId="77777777" w:rsidR="00FD31DD" w:rsidRDefault="00FD31DD" w:rsidP="007113A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9EF66" w14:textId="77777777" w:rsidR="00296302" w:rsidRDefault="00296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6F658" w14:textId="77777777" w:rsidR="00296302" w:rsidRDefault="00296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657C" w14:textId="77777777" w:rsidR="00296302" w:rsidRDefault="00296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5D817" w14:textId="77777777" w:rsidR="00FD31DD" w:rsidRDefault="00FD31DD" w:rsidP="007113AC">
      <w:pPr>
        <w:spacing w:before="0" w:after="0"/>
      </w:pPr>
      <w:r>
        <w:separator/>
      </w:r>
    </w:p>
  </w:footnote>
  <w:footnote w:type="continuationSeparator" w:id="0">
    <w:p w14:paraId="22C4D2A3" w14:textId="77777777" w:rsidR="00FD31DD" w:rsidRDefault="00FD31DD" w:rsidP="007113A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427F" w14:textId="77777777" w:rsidR="00296302" w:rsidRDefault="002963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0177C" w14:textId="2A155FEB" w:rsidR="00A20E23" w:rsidRPr="00A20E23" w:rsidRDefault="00A20E23" w:rsidP="00A20E23">
    <w:pPr>
      <w:pStyle w:val="Subtitle"/>
      <w:rPr>
        <w:b/>
      </w:rPr>
    </w:pPr>
    <w:r w:rsidRPr="00A20E23">
      <w:rPr>
        <w:b/>
      </w:rPr>
      <w:t xml:space="preserve">DCP </w:t>
    </w:r>
    <w:r w:rsidR="00296302">
      <w:rPr>
        <w:b/>
      </w:rPr>
      <w:t>325 CONSIDERATIONS</w:t>
    </w:r>
    <w:r w:rsidRPr="00A20E23">
      <w:rPr>
        <w:b/>
      </w:rPr>
      <w:t xml:space="preserve"> LOG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4F831" w14:textId="77777777" w:rsidR="00296302" w:rsidRDefault="00296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08A731F4"/>
    <w:multiLevelType w:val="multilevel"/>
    <w:tmpl w:val="99F4A6AE"/>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720" w:hanging="72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3"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7" w15:restartNumberingAfterBreak="0">
    <w:nsid w:val="38A26B0A"/>
    <w:multiLevelType w:val="hybridMultilevel"/>
    <w:tmpl w:val="5D281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DC19BB"/>
    <w:multiLevelType w:val="hybridMultilevel"/>
    <w:tmpl w:val="93DA9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2" w15:restartNumberingAfterBreak="0">
    <w:nsid w:val="4CD66C1B"/>
    <w:multiLevelType w:val="hybridMultilevel"/>
    <w:tmpl w:val="3DD21352"/>
    <w:lvl w:ilvl="0" w:tplc="65E2111E">
      <w:start w:val="1"/>
      <w:numFmt w:val="lowerLetter"/>
      <w:lvlText w:val="(%1)"/>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DAA3D50"/>
    <w:multiLevelType w:val="hybridMultilevel"/>
    <w:tmpl w:val="AF387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15:restartNumberingAfterBreak="0">
    <w:nsid w:val="61CB6FAC"/>
    <w:multiLevelType w:val="hybridMultilevel"/>
    <w:tmpl w:val="E64A6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4730F0"/>
    <w:multiLevelType w:val="hybridMultilevel"/>
    <w:tmpl w:val="44B43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14"/>
  </w:num>
  <w:num w:numId="2">
    <w:abstractNumId w:val="3"/>
  </w:num>
  <w:num w:numId="3">
    <w:abstractNumId w:val="11"/>
  </w:num>
  <w:num w:numId="4">
    <w:abstractNumId w:val="1"/>
  </w:num>
  <w:num w:numId="5">
    <w:abstractNumId w:val="9"/>
  </w:num>
  <w:num w:numId="6">
    <w:abstractNumId w:val="9"/>
  </w:num>
  <w:num w:numId="7">
    <w:abstractNumId w:val="4"/>
  </w:num>
  <w:num w:numId="8">
    <w:abstractNumId w:val="5"/>
  </w:num>
  <w:num w:numId="9">
    <w:abstractNumId w:val="15"/>
  </w:num>
  <w:num w:numId="10">
    <w:abstractNumId w:val="10"/>
  </w:num>
  <w:num w:numId="11">
    <w:abstractNumId w:val="10"/>
  </w:num>
  <w:num w:numId="12">
    <w:abstractNumId w:val="6"/>
  </w:num>
  <w:num w:numId="13">
    <w:abstractNumId w:val="2"/>
  </w:num>
  <w:num w:numId="14">
    <w:abstractNumId w:val="18"/>
  </w:num>
  <w:num w:numId="15">
    <w:abstractNumId w:val="0"/>
  </w:num>
  <w:num w:numId="16">
    <w:abstractNumId w:val="12"/>
  </w:num>
  <w:num w:numId="17">
    <w:abstractNumId w:val="16"/>
  </w:num>
  <w:num w:numId="18">
    <w:abstractNumId w:val="13"/>
  </w:num>
  <w:num w:numId="19">
    <w:abstractNumId w:val="7"/>
  </w:num>
  <w:num w:numId="20">
    <w:abstractNumId w:val="17"/>
  </w:num>
  <w:num w:numId="2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40F"/>
    <w:rsid w:val="00012537"/>
    <w:rsid w:val="00070AE9"/>
    <w:rsid w:val="00081154"/>
    <w:rsid w:val="00095740"/>
    <w:rsid w:val="000A411C"/>
    <w:rsid w:val="000E3FA1"/>
    <w:rsid w:val="000F5C1F"/>
    <w:rsid w:val="00103DFB"/>
    <w:rsid w:val="001130B2"/>
    <w:rsid w:val="00113923"/>
    <w:rsid w:val="0014156E"/>
    <w:rsid w:val="0017724F"/>
    <w:rsid w:val="00197999"/>
    <w:rsid w:val="001F643C"/>
    <w:rsid w:val="00267B8B"/>
    <w:rsid w:val="00291E5C"/>
    <w:rsid w:val="00296302"/>
    <w:rsid w:val="002A65A4"/>
    <w:rsid w:val="002F6F1A"/>
    <w:rsid w:val="003C5A5E"/>
    <w:rsid w:val="003C6607"/>
    <w:rsid w:val="003E1D51"/>
    <w:rsid w:val="00437656"/>
    <w:rsid w:val="004443DC"/>
    <w:rsid w:val="0045036A"/>
    <w:rsid w:val="004B0FA0"/>
    <w:rsid w:val="004C0ADE"/>
    <w:rsid w:val="004C15AE"/>
    <w:rsid w:val="004F1EEF"/>
    <w:rsid w:val="00554AD2"/>
    <w:rsid w:val="0057291C"/>
    <w:rsid w:val="005F4409"/>
    <w:rsid w:val="0061321C"/>
    <w:rsid w:val="00616B73"/>
    <w:rsid w:val="00697AD5"/>
    <w:rsid w:val="006C4D69"/>
    <w:rsid w:val="006D6A86"/>
    <w:rsid w:val="00701510"/>
    <w:rsid w:val="007113AC"/>
    <w:rsid w:val="007232F7"/>
    <w:rsid w:val="007607B7"/>
    <w:rsid w:val="007B02BF"/>
    <w:rsid w:val="007B467B"/>
    <w:rsid w:val="007E00CC"/>
    <w:rsid w:val="007E5A1A"/>
    <w:rsid w:val="007E7835"/>
    <w:rsid w:val="007F501E"/>
    <w:rsid w:val="007F68FA"/>
    <w:rsid w:val="00874936"/>
    <w:rsid w:val="00883E2E"/>
    <w:rsid w:val="0089172B"/>
    <w:rsid w:val="008A212B"/>
    <w:rsid w:val="008A418A"/>
    <w:rsid w:val="008C46C8"/>
    <w:rsid w:val="008D340F"/>
    <w:rsid w:val="008D54BD"/>
    <w:rsid w:val="008D726E"/>
    <w:rsid w:val="008F4BB3"/>
    <w:rsid w:val="008F6B8D"/>
    <w:rsid w:val="00902278"/>
    <w:rsid w:val="00913EA5"/>
    <w:rsid w:val="00921DE6"/>
    <w:rsid w:val="009558ED"/>
    <w:rsid w:val="009A15A7"/>
    <w:rsid w:val="009A5CB4"/>
    <w:rsid w:val="00A07D21"/>
    <w:rsid w:val="00A20E23"/>
    <w:rsid w:val="00A23978"/>
    <w:rsid w:val="00A32A07"/>
    <w:rsid w:val="00A344E7"/>
    <w:rsid w:val="00A56350"/>
    <w:rsid w:val="00A571CA"/>
    <w:rsid w:val="00A67C34"/>
    <w:rsid w:val="00A95814"/>
    <w:rsid w:val="00AA21A5"/>
    <w:rsid w:val="00AB27B5"/>
    <w:rsid w:val="00AC3EFD"/>
    <w:rsid w:val="00AC4364"/>
    <w:rsid w:val="00B13069"/>
    <w:rsid w:val="00B155E2"/>
    <w:rsid w:val="00B16707"/>
    <w:rsid w:val="00B77F85"/>
    <w:rsid w:val="00B91A49"/>
    <w:rsid w:val="00B9354E"/>
    <w:rsid w:val="00BB6646"/>
    <w:rsid w:val="00C455F6"/>
    <w:rsid w:val="00C4707A"/>
    <w:rsid w:val="00CA22DF"/>
    <w:rsid w:val="00CD22D6"/>
    <w:rsid w:val="00CD6279"/>
    <w:rsid w:val="00D247E4"/>
    <w:rsid w:val="00D34D11"/>
    <w:rsid w:val="00D47C16"/>
    <w:rsid w:val="00D80581"/>
    <w:rsid w:val="00D940E7"/>
    <w:rsid w:val="00DA6F8F"/>
    <w:rsid w:val="00DD3AC6"/>
    <w:rsid w:val="00DD7189"/>
    <w:rsid w:val="00E223D5"/>
    <w:rsid w:val="00E43205"/>
    <w:rsid w:val="00E51947"/>
    <w:rsid w:val="00E712A7"/>
    <w:rsid w:val="00E86499"/>
    <w:rsid w:val="00E95780"/>
    <w:rsid w:val="00EA088E"/>
    <w:rsid w:val="00ED263C"/>
    <w:rsid w:val="00F0471F"/>
    <w:rsid w:val="00F052D7"/>
    <w:rsid w:val="00F2613C"/>
    <w:rsid w:val="00F95859"/>
    <w:rsid w:val="00FD257A"/>
    <w:rsid w:val="00FD31DD"/>
    <w:rsid w:val="00FE2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55CC7"/>
  <w15:chartTrackingRefBased/>
  <w15:docId w15:val="{BD3AD7AA-6A6C-499C-9C10-A318D6B88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0CC"/>
    <w:pPr>
      <w:spacing w:before="120" w:after="120" w:line="240" w:lineRule="auto"/>
      <w:outlineLvl w:val="1"/>
    </w:pPr>
    <w:rPr>
      <w:rFonts w:cs="Arial"/>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4443DC"/>
    <w:pPr>
      <w:keepNext/>
      <w:keepLines/>
      <w:numPr>
        <w:numId w:val="13"/>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4443DC"/>
    <w:pPr>
      <w:keepNext w:val="0"/>
      <w:keepLines w:val="0"/>
      <w:numPr>
        <w:ilvl w:val="1"/>
      </w:numPr>
      <w:spacing w:before="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autoRedefine/>
    <w:uiPriority w:val="1"/>
    <w:unhideWhenUsed/>
    <w:qFormat/>
    <w:rsid w:val="004443DC"/>
    <w:pPr>
      <w:numPr>
        <w:ilvl w:val="0"/>
        <w:numId w:val="0"/>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4443DC"/>
    <w:pPr>
      <w:keepNext/>
      <w:keepLines/>
      <w:numPr>
        <w:ilvl w:val="3"/>
        <w:numId w:val="13"/>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1"/>
    <w:unhideWhenUsed/>
    <w:qFormat/>
    <w:rsid w:val="004443DC"/>
    <w:pPr>
      <w:keepNext/>
      <w:keepLines/>
      <w:numPr>
        <w:ilvl w:val="4"/>
        <w:numId w:val="13"/>
      </w:numPr>
      <w:spacing w:before="200" w:line="360" w:lineRule="auto"/>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1"/>
    <w:unhideWhenUsed/>
    <w:qFormat/>
    <w:rsid w:val="004443DC"/>
    <w:pPr>
      <w:keepNext/>
      <w:keepLines/>
      <w:numPr>
        <w:ilvl w:val="5"/>
        <w:numId w:val="13"/>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10"/>
    <w:unhideWhenUsed/>
    <w:qFormat/>
    <w:rsid w:val="004443DC"/>
    <w:pPr>
      <w:keepNext/>
      <w:keepLines/>
      <w:numPr>
        <w:ilvl w:val="6"/>
        <w:numId w:val="13"/>
      </w:numPr>
      <w:spacing w:before="200" w:after="0" w:line="360" w:lineRule="auto"/>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10"/>
    <w:unhideWhenUsed/>
    <w:qFormat/>
    <w:rsid w:val="004443DC"/>
    <w:pPr>
      <w:keepNext/>
      <w:keepLines/>
      <w:numPr>
        <w:ilvl w:val="7"/>
        <w:numId w:val="1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10"/>
    <w:unhideWhenUsed/>
    <w:qFormat/>
    <w:rsid w:val="004443DC"/>
    <w:pPr>
      <w:keepNext/>
      <w:keepLines/>
      <w:numPr>
        <w:ilvl w:val="8"/>
        <w:numId w:val="13"/>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5"/>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outlineLvl w:val="9"/>
    </w:pPr>
    <w:rPr>
      <w:rFonts w:ascii="Calibri" w:hAnsi="Calibri" w:cstheme="minorBidi"/>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3"/>
      </w:numPr>
      <w:spacing w:before="0" w:after="240" w:line="360" w:lineRule="auto"/>
      <w:outlineLvl w:val="9"/>
    </w:pPr>
    <w:rPr>
      <w:rFonts w:ascii="Times New Roman" w:hAnsi="Times New Roman" w:cstheme="minorBidi"/>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4"/>
      </w:numPr>
    </w:pPr>
  </w:style>
  <w:style w:type="paragraph" w:customStyle="1" w:styleId="DCHeading1">
    <w:name w:val="DC Heading 1"/>
    <w:basedOn w:val="Normal"/>
    <w:link w:val="DCHeading1Char"/>
    <w:qFormat/>
    <w:rsid w:val="00012537"/>
    <w:pPr>
      <w:spacing w:before="0" w:after="240" w:line="360" w:lineRule="auto"/>
      <w:jc w:val="center"/>
      <w:outlineLvl w:val="9"/>
    </w:pPr>
    <w:rPr>
      <w:rFonts w:ascii="Times New Roman" w:hAnsi="Times New Roman" w:cstheme="minorBidi"/>
      <w:b/>
      <w:caps/>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8"/>
      </w:numPr>
    </w:pPr>
    <w:rPr>
      <w:b w:val="0"/>
      <w:caps w:val="0"/>
      <w:u w:val="single"/>
    </w:rPr>
  </w:style>
  <w:style w:type="paragraph" w:customStyle="1" w:styleId="DCNormParabulletptL2">
    <w:name w:val="DC Norm Para bullet pt L2"/>
    <w:basedOn w:val="DCHeading4"/>
    <w:link w:val="DCNormParabulletptL2Char"/>
    <w:rsid w:val="00012537"/>
    <w:pPr>
      <w:numPr>
        <w:numId w:val="6"/>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7"/>
      </w:numPr>
    </w:pPr>
  </w:style>
  <w:style w:type="numbering" w:customStyle="1" w:styleId="DCParalinknumbers">
    <w:name w:val="DC Para link numbers"/>
    <w:uiPriority w:val="99"/>
    <w:rsid w:val="00012537"/>
    <w:pPr>
      <w:numPr>
        <w:numId w:val="8"/>
      </w:numPr>
    </w:pPr>
  </w:style>
  <w:style w:type="paragraph" w:customStyle="1" w:styleId="DCSideHeadingnumbered">
    <w:name w:val="DC Side Heading numbered"/>
    <w:basedOn w:val="Normal"/>
    <w:qFormat/>
    <w:rsid w:val="00012537"/>
    <w:pPr>
      <w:numPr>
        <w:numId w:val="9"/>
      </w:numPr>
      <w:spacing w:before="0" w:after="240" w:line="360" w:lineRule="auto"/>
      <w:outlineLvl w:val="9"/>
    </w:pPr>
    <w:rPr>
      <w:rFonts w:ascii="Times New Roman" w:hAnsi="Times New Roman" w:cstheme="minorBidi"/>
      <w:b/>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1"/>
      </w:numPr>
    </w:pPr>
    <w:rPr>
      <w:rFonts w:ascii="Times New Roman" w:hAnsi="Times New Roman"/>
    </w:rPr>
  </w:style>
  <w:style w:type="paragraph" w:customStyle="1" w:styleId="DCTOCSchedule">
    <w:name w:val="DC TOC Schedule"/>
    <w:basedOn w:val="Normal"/>
    <w:qFormat/>
    <w:rsid w:val="00012537"/>
    <w:pPr>
      <w:spacing w:before="0" w:after="0" w:line="360" w:lineRule="auto"/>
      <w:outlineLvl w:val="9"/>
    </w:pPr>
    <w:rPr>
      <w:rFonts w:ascii="Times New Roman" w:hAnsi="Times New Roman" w:cstheme="minorBidi"/>
      <w:caps/>
      <w:sz w:val="24"/>
    </w:rPr>
  </w:style>
  <w:style w:type="numbering" w:customStyle="1" w:styleId="DCTOCWholeNumbers">
    <w:name w:val="DC TOC Whole Numbers"/>
    <w:uiPriority w:val="99"/>
    <w:rsid w:val="00012537"/>
    <w:pPr>
      <w:numPr>
        <w:numId w:val="10"/>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2"/>
      </w:numPr>
      <w:outlineLvl w:val="9"/>
    </w:pPr>
    <w:rPr>
      <w:rFonts w:ascii="Times New Roman" w:hAnsi="Times New Roman" w:cstheme="minorBidi"/>
      <w:sz w:val="24"/>
    </w:rPr>
  </w:style>
  <w:style w:type="paragraph" w:customStyle="1" w:styleId="DCUSATableTextbulletpt">
    <w:name w:val="DCUSA Table Text bullet pt"/>
    <w:basedOn w:val="DCUSATableText"/>
    <w:link w:val="DCUSATableTextbulletptChar"/>
    <w:qFormat/>
    <w:rsid w:val="00012537"/>
    <w:pPr>
      <w:numPr>
        <w:ilvl w:val="1"/>
        <w:numId w:val="12"/>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012537"/>
    <w:rPr>
      <w:rFonts w:ascii="Times New Roman" w:eastAsiaTheme="majorEastAsia" w:hAnsi="Times New Roman" w:cstheme="majorBidi"/>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jc w:val="both"/>
      <w:outlineLvl w:val="9"/>
    </w:pPr>
    <w:rPr>
      <w:rFonts w:ascii="Times New Roman" w:eastAsia="Times New Roman" w:hAnsi="Times New Roman" w:cs="Times New Roman"/>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4443DC"/>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012537"/>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1"/>
    <w:rsid w:val="004443DC"/>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012537"/>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10"/>
    <w:rsid w:val="00012537"/>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EW">
    <w:name w:val="NEW"/>
    <w:basedOn w:val="DefaultParagraphFont"/>
    <w:uiPriority w:val="1"/>
    <w:rsid w:val="008D340F"/>
    <w:rPr>
      <w:rFonts w:ascii="Calibri" w:hAnsi="Calibri"/>
      <w:color w:val="auto"/>
      <w:sz w:val="22"/>
    </w:rPr>
  </w:style>
  <w:style w:type="paragraph" w:styleId="BodyText">
    <w:name w:val="Body Text"/>
    <w:basedOn w:val="Normal"/>
    <w:link w:val="BodyTextChar"/>
    <w:unhideWhenUsed/>
    <w:qFormat/>
    <w:rsid w:val="008D340F"/>
    <w:pPr>
      <w:spacing w:before="0" w:line="259" w:lineRule="auto"/>
      <w:outlineLvl w:val="9"/>
    </w:pPr>
    <w:rPr>
      <w:rFonts w:cstheme="minorBidi"/>
    </w:rPr>
  </w:style>
  <w:style w:type="character" w:customStyle="1" w:styleId="BodyTextChar">
    <w:name w:val="Body Text Char"/>
    <w:basedOn w:val="DefaultParagraphFont"/>
    <w:link w:val="BodyText"/>
    <w:rsid w:val="008D340F"/>
  </w:style>
  <w:style w:type="paragraph" w:customStyle="1" w:styleId="Question">
    <w:name w:val="Question"/>
    <w:basedOn w:val="Normal"/>
    <w:next w:val="BodyText"/>
    <w:qFormat/>
    <w:rsid w:val="000A411C"/>
    <w:pPr>
      <w:keepNext/>
      <w:keepLines/>
      <w:numPr>
        <w:numId w:val="15"/>
      </w:numPr>
      <w:spacing w:before="0" w:after="0"/>
      <w:outlineLvl w:val="9"/>
    </w:pPr>
    <w:rPr>
      <w:rFonts w:ascii="Verdana" w:hAnsi="Verdana" w:cstheme="minorBidi"/>
      <w:b/>
      <w:sz w:val="20"/>
      <w:szCs w:val="24"/>
    </w:rPr>
  </w:style>
  <w:style w:type="numbering" w:customStyle="1" w:styleId="ElectralinkQuestionNumbers">
    <w:name w:val="Electralink Question Numbers"/>
    <w:basedOn w:val="NoList"/>
    <w:uiPriority w:val="99"/>
    <w:rsid w:val="000A411C"/>
    <w:pPr>
      <w:numPr>
        <w:numId w:val="15"/>
      </w:numPr>
    </w:pPr>
  </w:style>
  <w:style w:type="paragraph" w:customStyle="1" w:styleId="Text">
    <w:name w:val="Text"/>
    <w:basedOn w:val="Normal"/>
    <w:uiPriority w:val="99"/>
    <w:qFormat/>
    <w:rsid w:val="000A411C"/>
    <w:pPr>
      <w:tabs>
        <w:tab w:val="num" w:pos="720"/>
      </w:tabs>
      <w:spacing w:before="0" w:after="240"/>
      <w:ind w:left="720" w:hanging="720"/>
      <w:jc w:val="both"/>
      <w:outlineLvl w:val="9"/>
    </w:pPr>
    <w:rPr>
      <w:rFonts w:ascii="Times New Roman" w:eastAsia="Times New Roman" w:hAnsi="Times New Roman" w:cs="Times New Roman"/>
      <w:kern w:val="14"/>
      <w:sz w:val="24"/>
      <w:szCs w:val="20"/>
      <w:lang w:bidi="en-US"/>
    </w:rPr>
  </w:style>
  <w:style w:type="paragraph" w:customStyle="1" w:styleId="BodyTextNoSpacing">
    <w:name w:val="Body Text No Spacing"/>
    <w:basedOn w:val="BodyText"/>
    <w:qFormat/>
    <w:rsid w:val="00BB6646"/>
    <w:pPr>
      <w:spacing w:after="0" w:line="240" w:lineRule="atLeast"/>
    </w:pPr>
    <w:rPr>
      <w:rFonts w:ascii="Verdana" w:hAnsi="Verdana"/>
      <w:sz w:val="20"/>
      <w:szCs w:val="24"/>
    </w:rPr>
  </w:style>
  <w:style w:type="paragraph" w:styleId="BodyText2">
    <w:name w:val="Body Text 2"/>
    <w:basedOn w:val="Normal"/>
    <w:link w:val="BodyText2Char"/>
    <w:uiPriority w:val="99"/>
    <w:unhideWhenUsed/>
    <w:rsid w:val="007F501E"/>
    <w:rPr>
      <w:rFonts w:ascii="Calibri" w:hAnsi="Calibri" w:cstheme="minorHAnsi"/>
      <w:color w:val="404040" w:themeColor="text1" w:themeTint="BF"/>
    </w:rPr>
  </w:style>
  <w:style w:type="character" w:customStyle="1" w:styleId="BodyText2Char">
    <w:name w:val="Body Text 2 Char"/>
    <w:basedOn w:val="DefaultParagraphFont"/>
    <w:link w:val="BodyText2"/>
    <w:uiPriority w:val="99"/>
    <w:rsid w:val="007F501E"/>
    <w:rPr>
      <w:rFonts w:ascii="Calibri" w:hAnsi="Calibri" w:cstheme="minorHAnsi"/>
      <w:color w:val="404040" w:themeColor="text1" w:themeTint="BF"/>
    </w:rPr>
  </w:style>
  <w:style w:type="paragraph" w:styleId="BodyText3">
    <w:name w:val="Body Text 3"/>
    <w:basedOn w:val="Normal"/>
    <w:link w:val="BodyText3Char"/>
    <w:uiPriority w:val="99"/>
    <w:unhideWhenUsed/>
    <w:rsid w:val="007E00CC"/>
    <w:rPr>
      <w:i/>
    </w:rPr>
  </w:style>
  <w:style w:type="character" w:customStyle="1" w:styleId="BodyText3Char">
    <w:name w:val="Body Text 3 Char"/>
    <w:basedOn w:val="DefaultParagraphFont"/>
    <w:link w:val="BodyText3"/>
    <w:uiPriority w:val="99"/>
    <w:rsid w:val="007E00CC"/>
    <w:rPr>
      <w:rFonts w:cs="Arial"/>
      <w:i/>
      <w:color w:val="4D4D4D"/>
    </w:rPr>
  </w:style>
  <w:style w:type="paragraph" w:styleId="Quote">
    <w:name w:val="Quote"/>
    <w:basedOn w:val="Normal"/>
    <w:next w:val="Normal"/>
    <w:link w:val="QuoteChar"/>
    <w:uiPriority w:val="29"/>
    <w:qFormat/>
    <w:rsid w:val="007E00CC"/>
    <w:pPr>
      <w:spacing w:before="200" w:after="160"/>
    </w:pPr>
    <w:rPr>
      <w:i/>
      <w:iCs/>
      <w:color w:val="2F5496" w:themeColor="accent1" w:themeShade="BF"/>
    </w:rPr>
  </w:style>
  <w:style w:type="character" w:customStyle="1" w:styleId="QuoteChar">
    <w:name w:val="Quote Char"/>
    <w:basedOn w:val="DefaultParagraphFont"/>
    <w:link w:val="Quote"/>
    <w:uiPriority w:val="29"/>
    <w:rsid w:val="007E00CC"/>
    <w:rPr>
      <w:rFonts w:cs="Arial"/>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9568F-DB3A-4F0A-B238-6697E0E72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1390</Words>
  <Characters>7926</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Hollie Nicholls</cp:lastModifiedBy>
  <cp:revision>2</cp:revision>
  <dcterms:created xsi:type="dcterms:W3CDTF">2018-12-07T12:00:00Z</dcterms:created>
  <dcterms:modified xsi:type="dcterms:W3CDTF">2018-12-07T12:00:00Z</dcterms:modified>
</cp:coreProperties>
</file>